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rPr>
          <w:rFonts w:ascii="Times New Roman" w:hAnsi="Times New Roman"/>
          <w:b/>
          <w:bCs/>
          <w:sz w:val="30"/>
          <w:szCs w:val="30"/>
        </w:rPr>
      </w:pPr>
      <w:r>
        <w:rPr>
          <w:rFonts w:ascii="Times New Roman" w:hAnsi="Times New Roman"/>
          <w:b/>
          <w:bCs/>
          <w:sz w:val="30"/>
          <w:szCs w:val="30"/>
        </w:rPr>
        <w:t>第四部分   技术要求</w:t>
      </w:r>
    </w:p>
    <w:p>
      <w:pPr>
        <w:pStyle w:val="8"/>
        <w:spacing w:line="360" w:lineRule="auto"/>
        <w:ind w:firstLine="480"/>
        <w:rPr>
          <w:rFonts w:ascii="Times New Roman" w:hAnsi="Times New Roman" w:eastAsia="宋体" w:cs="Times New Roman"/>
          <w:sz w:val="24"/>
          <w:szCs w:val="24"/>
        </w:rPr>
      </w:pPr>
    </w:p>
    <w:p>
      <w:pPr>
        <w:pStyle w:val="8"/>
        <w:spacing w:line="360" w:lineRule="auto"/>
        <w:ind w:firstLine="480"/>
        <w:rPr>
          <w:rFonts w:ascii="Times New Roman" w:hAnsi="Times New Roman" w:eastAsia="宋体" w:cs="Times New Roman"/>
          <w:sz w:val="24"/>
          <w:szCs w:val="24"/>
        </w:rPr>
      </w:pPr>
      <w:bookmarkStart w:id="0" w:name="_GoBack"/>
      <w:bookmarkEnd w:id="0"/>
      <w:r>
        <w:rPr>
          <w:rFonts w:ascii="Times New Roman" w:hAnsi="Times New Roman" w:eastAsia="宋体" w:cs="Times New Roman"/>
          <w:sz w:val="24"/>
          <w:szCs w:val="24"/>
        </w:rPr>
        <w:t>一、服务质量：完成所有项目并通过省市级验收标准，按时提交成果。</w:t>
      </w:r>
    </w:p>
    <w:p>
      <w:pPr>
        <w:spacing w:line="360" w:lineRule="auto"/>
        <w:ind w:firstLine="480" w:firstLineChars="200"/>
        <w:rPr>
          <w:rFonts w:ascii="Times New Roman" w:hAnsi="Times New Roman"/>
          <w:b/>
          <w:bCs/>
          <w:sz w:val="28"/>
          <w:szCs w:val="30"/>
        </w:rPr>
      </w:pPr>
      <w:r>
        <w:rPr>
          <w:rFonts w:ascii="Times New Roman" w:hAnsi="Times New Roman"/>
          <w:sz w:val="24"/>
        </w:rPr>
        <w:t>二、咸阳市林业碳汇试点建设实施方案编制工作任务</w:t>
      </w:r>
    </w:p>
    <w:p>
      <w:pPr>
        <w:pStyle w:val="3"/>
        <w:spacing w:line="360" w:lineRule="auto"/>
        <w:rPr>
          <w:rFonts w:ascii="Times New Roman" w:hAnsi="Times New Roman"/>
          <w:sz w:val="24"/>
        </w:rPr>
      </w:pPr>
      <w:r>
        <w:rPr>
          <w:rFonts w:ascii="Times New Roman" w:hAnsi="Times New Roman"/>
          <w:sz w:val="24"/>
        </w:rPr>
        <w:t xml:space="preserve">1、前期工作  </w:t>
      </w:r>
    </w:p>
    <w:p>
      <w:pPr>
        <w:pStyle w:val="3"/>
        <w:spacing w:line="360" w:lineRule="auto"/>
        <w:rPr>
          <w:rFonts w:ascii="Times New Roman" w:hAnsi="Times New Roman"/>
          <w:sz w:val="24"/>
        </w:rPr>
      </w:pPr>
      <w:r>
        <w:rPr>
          <w:rFonts w:ascii="Times New Roman" w:hAnsi="Times New Roman"/>
          <w:sz w:val="24"/>
        </w:rPr>
        <w:t>（1）资料收集，包括咸阳市林草碳汇资源总体状况，项目区所处的地理区位、地形地貌、气候特点、土壤、水资源、森林草原植被、湿地植被、社会经济概况等。项目区各类林地和森林草原湿地各类面积、各类林木蓄积、林草生态功能，以及在营造林和国家储备林建设、草原保护修复、湿地保护方面进展、完成情况，主要成绩与经验等。</w:t>
      </w:r>
    </w:p>
    <w:p>
      <w:pPr>
        <w:pStyle w:val="3"/>
        <w:spacing w:line="360" w:lineRule="auto"/>
        <w:rPr>
          <w:rFonts w:ascii="Times New Roman" w:hAnsi="Times New Roman"/>
          <w:sz w:val="24"/>
        </w:rPr>
      </w:pPr>
      <w:r>
        <w:rPr>
          <w:rFonts w:ascii="Times New Roman" w:hAnsi="Times New Roman"/>
          <w:sz w:val="24"/>
        </w:rPr>
        <w:t>（2）汇总项目实施的有利条件</w:t>
      </w:r>
    </w:p>
    <w:p>
      <w:pPr>
        <w:pStyle w:val="3"/>
        <w:spacing w:line="360" w:lineRule="auto"/>
        <w:rPr>
          <w:rFonts w:ascii="Times New Roman" w:hAnsi="Times New Roman"/>
          <w:sz w:val="24"/>
        </w:rPr>
      </w:pPr>
      <w:r>
        <w:rPr>
          <w:rFonts w:ascii="Times New Roman" w:hAnsi="Times New Roman"/>
          <w:sz w:val="24"/>
        </w:rPr>
        <w:t>从政府重视、政策支持、社会经济状况、水热条件、科技支撑、营林技术、专业队伍、林业金融资本等方面，分析项目实施的有利条件。</w:t>
      </w:r>
    </w:p>
    <w:p>
      <w:pPr>
        <w:pStyle w:val="3"/>
        <w:spacing w:line="360" w:lineRule="auto"/>
        <w:rPr>
          <w:rFonts w:ascii="Times New Roman" w:hAnsi="Times New Roman"/>
          <w:sz w:val="24"/>
        </w:rPr>
      </w:pPr>
      <w:r>
        <w:rPr>
          <w:rFonts w:ascii="Times New Roman" w:hAnsi="Times New Roman"/>
          <w:sz w:val="24"/>
        </w:rPr>
        <w:t>2、确定主要建设内容，主要建设内容可包括以下内容的1-2项：</w:t>
      </w:r>
    </w:p>
    <w:p>
      <w:pPr>
        <w:spacing w:line="360" w:lineRule="auto"/>
        <w:ind w:firstLine="480" w:firstLineChars="200"/>
        <w:rPr>
          <w:rFonts w:ascii="Times New Roman" w:hAnsi="Times New Roman"/>
          <w:sz w:val="24"/>
        </w:rPr>
      </w:pPr>
      <w:r>
        <w:rPr>
          <w:rFonts w:ascii="Times New Roman" w:hAnsi="Times New Roman"/>
          <w:sz w:val="24"/>
        </w:rPr>
        <w:t>（1）探索林业碳汇巩固提升经营模式和关键技术，挖掘增汇潜力。构建以提升森林碳汇能力为主的多目标经营模式，研发森林、草原、湿地、荒漠保护修复和固碳增汇关键技术。</w:t>
      </w:r>
    </w:p>
    <w:p>
      <w:pPr>
        <w:spacing w:line="360" w:lineRule="auto"/>
        <w:ind w:firstLine="480" w:firstLineChars="200"/>
        <w:rPr>
          <w:rFonts w:ascii="Times New Roman" w:hAnsi="Times New Roman"/>
          <w:sz w:val="24"/>
        </w:rPr>
      </w:pPr>
      <w:r>
        <w:rPr>
          <w:rFonts w:ascii="Times New Roman" w:hAnsi="Times New Roman"/>
          <w:sz w:val="24"/>
        </w:rPr>
        <w:t>（2）完善林业碳汇计量监测体系，提高森林碳汇计量精准度，构建区域主要树种的碳汇计量模型，探索建立森林碳汇数据库，细化草原、湿地、荒漠等生态系统碳汇计量监测方法。</w:t>
      </w:r>
    </w:p>
    <w:p>
      <w:pPr>
        <w:spacing w:line="360" w:lineRule="auto"/>
        <w:ind w:firstLine="480" w:firstLineChars="200"/>
        <w:rPr>
          <w:rFonts w:ascii="Times New Roman" w:hAnsi="Times New Roman"/>
          <w:sz w:val="24"/>
        </w:rPr>
      </w:pPr>
      <w:r>
        <w:rPr>
          <w:rFonts w:ascii="Times New Roman" w:hAnsi="Times New Roman"/>
          <w:sz w:val="24"/>
        </w:rPr>
        <w:t>（3）探索林业生态产品价值实现机制。围绕林业生态产品目录编制、监测体系建设、价值核算、经营开发、保护补偿等机制建设，探索推进的方向、路径和举措。</w:t>
      </w:r>
    </w:p>
    <w:p>
      <w:pPr>
        <w:spacing w:line="360" w:lineRule="auto"/>
        <w:ind w:firstLine="480" w:firstLineChars="200"/>
        <w:rPr>
          <w:rFonts w:ascii="Times New Roman" w:hAnsi="Times New Roman"/>
          <w:sz w:val="24"/>
        </w:rPr>
      </w:pPr>
      <w:r>
        <w:rPr>
          <w:rFonts w:ascii="Times New Roman" w:hAnsi="Times New Roman"/>
          <w:sz w:val="24"/>
        </w:rPr>
        <w:t>（4）探索区域林业碳汇补偿机制，建立基于林业碳汇贡献的精准补偿。着力解决大多数森林固碳功能国家贡献大却不能作为碳汇项目开发，难以实现经济效益转化的问题。</w:t>
      </w:r>
    </w:p>
    <w:p>
      <w:pPr>
        <w:spacing w:line="360" w:lineRule="auto"/>
        <w:ind w:firstLine="480" w:firstLineChars="200"/>
        <w:rPr>
          <w:rFonts w:ascii="Times New Roman" w:hAnsi="Times New Roman"/>
          <w:sz w:val="24"/>
        </w:rPr>
      </w:pPr>
      <w:r>
        <w:rPr>
          <w:rFonts w:ascii="Times New Roman" w:hAnsi="Times New Roman"/>
          <w:sz w:val="24"/>
        </w:rPr>
        <w:t>（5）创新森林碳汇交易模式，破解交易难题。鼓励地方先行先试，制定符合地方实际的林业碳汇开发、设计、交易、管理等制度体系，简化项目开发程序，降低项目开发成本，推动区域林业碳汇交易。</w:t>
      </w:r>
    </w:p>
    <w:p>
      <w:pPr>
        <w:spacing w:line="360" w:lineRule="auto"/>
        <w:ind w:firstLine="480" w:firstLineChars="200"/>
        <w:rPr>
          <w:rFonts w:ascii="Times New Roman" w:hAnsi="Times New Roman"/>
          <w:sz w:val="24"/>
        </w:rPr>
      </w:pPr>
      <w:r>
        <w:rPr>
          <w:rFonts w:ascii="Times New Roman" w:hAnsi="Times New Roman"/>
          <w:sz w:val="24"/>
        </w:rPr>
        <w:t>（6）探索金融支持林业碳汇价值实现方式。创新金融支持林业碳汇价值实现方式，通过林业碳汇债券、碳汇收益权质押、森林保险、碳汇指数保险等，探索可行的绿色金融手段，拓展林业碳汇项目开发融资渠道。</w:t>
      </w:r>
    </w:p>
    <w:p>
      <w:pPr>
        <w:spacing w:line="360" w:lineRule="auto"/>
        <w:ind w:firstLine="480" w:firstLineChars="200"/>
        <w:rPr>
          <w:rFonts w:ascii="Times New Roman" w:hAnsi="Times New Roman"/>
          <w:bCs/>
          <w:sz w:val="24"/>
        </w:rPr>
      </w:pPr>
      <w:r>
        <w:rPr>
          <w:rFonts w:ascii="Times New Roman" w:hAnsi="Times New Roman"/>
          <w:bCs/>
          <w:sz w:val="24"/>
        </w:rPr>
        <w:t>3.效益评价</w:t>
      </w:r>
    </w:p>
    <w:p>
      <w:pPr>
        <w:spacing w:line="360" w:lineRule="auto"/>
        <w:ind w:firstLine="480" w:firstLineChars="200"/>
        <w:rPr>
          <w:rFonts w:ascii="Times New Roman" w:hAnsi="Times New Roman"/>
          <w:bCs/>
          <w:sz w:val="24"/>
        </w:rPr>
      </w:pPr>
      <w:r>
        <w:rPr>
          <w:rFonts w:ascii="Times New Roman" w:hAnsi="Times New Roman"/>
          <w:bCs/>
          <w:sz w:val="24"/>
        </w:rPr>
        <w:t>采取定量评价与定性分析相结合，估算项目全面实施对增加森林碳储量与碳汇量、精准实施计量监测、丰富林草碳汇项目方法学、简化林草碳汇项目开发流程、推进区域市场交易和生态补偿、拓宽绿色金融支持渠道等的贡献。从社会效益、生态效益、经济效益和满意度指标等方面提出具体考核指标，对项目效益进行年度评价考核。</w:t>
      </w:r>
    </w:p>
    <w:p>
      <w:pPr>
        <w:numPr>
          <w:ilvl w:val="0"/>
          <w:numId w:val="1"/>
        </w:numPr>
        <w:spacing w:line="360" w:lineRule="auto"/>
      </w:pPr>
      <w:r>
        <w:rPr>
          <w:rFonts w:ascii="Times New Roman" w:hAnsi="Times New Roman"/>
          <w:bCs/>
          <w:sz w:val="24"/>
        </w:rPr>
        <w:t>配合咸阳市林业局做好成果评审及成果完善工作。</w:t>
      </w:r>
    </w:p>
    <w:p>
      <w:pPr>
        <w:pStyle w:val="8"/>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三、质量标准：</w:t>
      </w:r>
    </w:p>
    <w:p>
      <w:pPr>
        <w:pStyle w:val="8"/>
        <w:spacing w:line="360" w:lineRule="auto"/>
        <w:ind w:firstLine="480"/>
        <w:rPr>
          <w:rFonts w:ascii="Times New Roman" w:hAnsi="Times New Roman" w:eastAsia="宋体" w:cs="Times New Roman"/>
          <w:bCs/>
          <w:sz w:val="24"/>
          <w:szCs w:val="24"/>
        </w:rPr>
      </w:pPr>
      <w:r>
        <w:rPr>
          <w:rFonts w:ascii="Times New Roman" w:hAnsi="Times New Roman" w:eastAsia="宋体" w:cs="Times New Roman"/>
          <w:bCs/>
          <w:sz w:val="24"/>
          <w:szCs w:val="24"/>
        </w:rPr>
        <w:t>符合国家、省相关技术要求及标准。</w:t>
      </w:r>
    </w:p>
    <w:p>
      <w:pPr>
        <w:pStyle w:val="8"/>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四、其它：</w:t>
      </w:r>
    </w:p>
    <w:p>
      <w:pPr>
        <w:spacing w:line="360" w:lineRule="auto"/>
        <w:ind w:firstLine="480" w:firstLineChars="200"/>
        <w:rPr>
          <w:rFonts w:ascii="Times New Roman" w:hAnsi="Times New Roman"/>
          <w:b/>
          <w:sz w:val="24"/>
        </w:rPr>
      </w:pPr>
      <w:r>
        <w:rPr>
          <w:rFonts w:ascii="Times New Roman" w:hAnsi="Times New Roman"/>
          <w:sz w:val="24"/>
        </w:rPr>
        <w:t>本项目所形成的数据成果归采购人所有。项目任务实施中涉及到的相关保密数据、资料、文档等按照相应相关保密规定执行，中标供应商有对资料保密的义务。不得以商业目的使用该资料或者开发和生产其他产品；中标供应商可根据需要对资料内容进行必要的修改和对数据格式进行转换，但未经许可，不得将修改、转换后的数据对外发布和提供。</w:t>
      </w:r>
    </w:p>
    <w:p>
      <w:pPr>
        <w:pStyle w:val="8"/>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五、交付成果</w:t>
      </w:r>
    </w:p>
    <w:p>
      <w:pPr>
        <w:spacing w:line="360" w:lineRule="auto"/>
        <w:rPr>
          <w:rFonts w:ascii="Times New Roman" w:hAnsi="Times New Roman"/>
          <w:b/>
          <w:bCs/>
          <w:sz w:val="28"/>
          <w:szCs w:val="30"/>
        </w:rPr>
      </w:pPr>
      <w:r>
        <w:rPr>
          <w:rFonts w:ascii="Times New Roman" w:hAnsi="Times New Roman"/>
          <w:sz w:val="24"/>
        </w:rPr>
        <w:t xml:space="preserve">交付成果分纸质和电子文档两种，主要包括《陕西省咸阳市林业碳汇试点建设实施方案》。 </w:t>
      </w:r>
    </w:p>
    <w:p>
      <w:pPr>
        <w:autoSpaceDE w:val="0"/>
        <w:autoSpaceDN w:val="0"/>
        <w:adjustRightInd w:val="0"/>
        <w:spacing w:after="120" w:afterLines="50"/>
        <w:jc w:val="center"/>
        <w:rPr>
          <w:rFonts w:ascii="Times New Roman" w:hAnsi="Times New Roman"/>
          <w:b/>
          <w:bCs/>
          <w:sz w:val="28"/>
          <w:szCs w:val="30"/>
        </w:rPr>
      </w:pPr>
    </w:p>
    <w:p/>
    <w:sectPr>
      <w:pgSz w:w="11906" w:h="16838"/>
      <w:pgMar w:top="1701" w:right="1587" w:bottom="1587"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fal">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9B44A"/>
    <w:multiLevelType w:val="singleLevel"/>
    <w:tmpl w:val="E449B44A"/>
    <w:lvl w:ilvl="0" w:tentative="0">
      <w:start w:val="4"/>
      <w:numFmt w:val="decimal"/>
      <w:suff w:val="nothing"/>
      <w:lvlText w:val="%1、"/>
      <w:lvlJc w:val="left"/>
      <w:pPr>
        <w:ind w:left="48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30E4A"/>
    <w:rsid w:val="30596377"/>
    <w:rsid w:val="4FB30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pPr>
  </w:style>
  <w:style w:type="paragraph" w:styleId="3">
    <w:name w:val="Normal Indent"/>
    <w:basedOn w:val="1"/>
    <w:unhideWhenUsed/>
    <w:qFormat/>
    <w:uiPriority w:val="99"/>
    <w:pPr>
      <w:ind w:firstLine="420"/>
    </w:p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列出段落1"/>
    <w:basedOn w:val="1"/>
    <w:qFormat/>
    <w:uiPriority w:val="0"/>
    <w:pPr>
      <w:ind w:firstLine="420" w:firstLineChars="200"/>
    </w:pPr>
    <w:rPr>
      <w:rFonts w:eastAsia="宋体fal"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2022-10-28T02:35:00Z</dcterms:created>
  <dc:creator>admin</dc:creator>
  <cp:lastModifiedBy>admin</cp:lastModifiedBy>
  <dcterms:modified xsi:type="dcterms:W3CDTF">2022-10-28T02:35:36Z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