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44"/>
          <w:szCs w:val="44"/>
          <w:highlight w:val="none"/>
        </w:rPr>
      </w:pPr>
    </w:p>
    <w:p>
      <w:pPr>
        <w:adjustRightInd/>
        <w:spacing w:line="360" w:lineRule="auto"/>
        <w:jc w:val="center"/>
        <w:rPr>
          <w:rFonts w:ascii="仿宋_GB2312" w:hAnsi="仿宋" w:eastAsia="仿宋_GB2312" w:cs="仿宋_GB2312"/>
          <w:b/>
          <w:color w:val="auto"/>
          <w:sz w:val="48"/>
          <w:szCs w:val="48"/>
          <w:highlight w:val="none"/>
        </w:rPr>
      </w:pPr>
    </w:p>
    <w:p>
      <w:pPr>
        <w:adjustRightInd/>
        <w:spacing w:line="360" w:lineRule="auto"/>
        <w:jc w:val="center"/>
        <w:rPr>
          <w:rFonts w:hint="eastAsia" w:ascii="仿宋" w:hAnsi="仿宋" w:eastAsia="仿宋" w:cs="仿宋_GB2312"/>
          <w:color w:val="auto"/>
          <w:sz w:val="48"/>
          <w:szCs w:val="48"/>
          <w:highlight w:val="none"/>
          <w:lang w:eastAsia="zh-CN"/>
        </w:rPr>
      </w:pPr>
      <w:r>
        <w:rPr>
          <w:rFonts w:hint="eastAsia" w:ascii="仿宋" w:hAnsi="仿宋" w:eastAsia="仿宋" w:cs="仿宋_GB2312"/>
          <w:color w:val="auto"/>
          <w:sz w:val="48"/>
          <w:szCs w:val="48"/>
          <w:highlight w:val="none"/>
          <w:lang w:eastAsia="zh-CN"/>
        </w:rPr>
        <w:t>杭州市温室气体手工监测及碳通量评估</w:t>
      </w:r>
    </w:p>
    <w:p>
      <w:pPr>
        <w:adjustRightInd/>
        <w:spacing w:line="360" w:lineRule="auto"/>
        <w:jc w:val="center"/>
        <w:rPr>
          <w:rFonts w:hint="eastAsia" w:ascii="仿宋" w:hAnsi="仿宋" w:eastAsia="仿宋" w:cs="仿宋_GB2312"/>
          <w:color w:val="auto"/>
          <w:sz w:val="48"/>
          <w:szCs w:val="48"/>
          <w:highlight w:val="none"/>
          <w:lang w:eastAsia="zh-CN"/>
        </w:rPr>
      </w:pPr>
      <w:r>
        <w:rPr>
          <w:rFonts w:hint="eastAsia" w:ascii="仿宋" w:hAnsi="仿宋" w:eastAsia="仿宋" w:cs="仿宋_GB2312"/>
          <w:color w:val="auto"/>
          <w:sz w:val="48"/>
          <w:szCs w:val="48"/>
          <w:highlight w:val="none"/>
          <w:lang w:eastAsia="zh-CN"/>
        </w:rPr>
        <w:t>项目</w:t>
      </w:r>
    </w:p>
    <w:p>
      <w:pPr>
        <w:adjustRightInd/>
        <w:spacing w:line="360" w:lineRule="auto"/>
        <w:jc w:val="center"/>
        <w:rPr>
          <w:rFonts w:ascii="仿宋" w:hAnsi="仿宋" w:eastAsia="仿宋" w:cs="仿宋_GB2312"/>
          <w:color w:val="auto"/>
          <w:sz w:val="48"/>
          <w:szCs w:val="48"/>
          <w:highlight w:val="none"/>
        </w:rPr>
      </w:pPr>
    </w:p>
    <w:p>
      <w:pPr>
        <w:pStyle w:val="3"/>
        <w:rPr>
          <w:color w:val="auto"/>
          <w:highlight w:val="none"/>
          <w:lang w:val="en-US"/>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公开招标文件</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snapToGrid w:val="0"/>
        <w:spacing w:line="360" w:lineRule="auto"/>
        <w:jc w:val="center"/>
        <w:rPr>
          <w:rFonts w:ascii="仿宋" w:hAnsi="仿宋" w:eastAsia="仿宋" w:cs="仿宋_GB2312"/>
          <w:color w:val="auto"/>
          <w:sz w:val="30"/>
          <w:szCs w:val="30"/>
          <w:highlight w:val="none"/>
        </w:rPr>
      </w:pPr>
    </w:p>
    <w:p>
      <w:pPr>
        <w:snapToGrid w:val="0"/>
        <w:spacing w:line="360" w:lineRule="auto"/>
        <w:jc w:val="center"/>
        <w:rPr>
          <w:rFonts w:hint="eastAsia" w:ascii="仿宋" w:hAnsi="仿宋" w:eastAsia="仿宋" w:cs="仿宋_GB2312"/>
          <w:color w:val="auto"/>
          <w:sz w:val="30"/>
          <w:szCs w:val="30"/>
          <w:highlight w:val="none"/>
          <w:lang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lang w:eastAsia="zh-CN"/>
        </w:rPr>
        <w:t>HZYX-HJ-22325GK</w:t>
      </w: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snapToGrid w:val="0"/>
        <w:spacing w:line="360" w:lineRule="auto"/>
        <w:jc w:val="center"/>
        <w:rPr>
          <w:rFonts w:hint="eastAsia" w:ascii="仿宋" w:hAnsi="仿宋" w:eastAsia="仿宋" w:cs="Arial"/>
          <w:color w:val="auto"/>
          <w:sz w:val="30"/>
          <w:highlight w:val="none"/>
          <w:lang w:eastAsia="zh-CN"/>
        </w:rPr>
      </w:pPr>
      <w:r>
        <w:rPr>
          <w:rFonts w:hint="eastAsia" w:ascii="仿宋" w:hAnsi="仿宋" w:eastAsia="仿宋" w:cs="Arial"/>
          <w:color w:val="auto"/>
          <w:sz w:val="30"/>
          <w:highlight w:val="none"/>
        </w:rPr>
        <w:t>采购人：</w:t>
      </w:r>
      <w:r>
        <w:rPr>
          <w:rFonts w:hint="eastAsia" w:ascii="仿宋" w:hAnsi="仿宋" w:eastAsia="仿宋" w:cs="Arial"/>
          <w:color w:val="auto"/>
          <w:sz w:val="30"/>
          <w:highlight w:val="none"/>
          <w:lang w:eastAsia="zh-CN"/>
        </w:rPr>
        <w:t>浙江省杭州生态环境监测中心</w:t>
      </w:r>
    </w:p>
    <w:p>
      <w:pPr>
        <w:spacing w:line="360" w:lineRule="auto"/>
        <w:jc w:val="center"/>
        <w:rPr>
          <w:rFonts w:ascii="仿宋" w:hAnsi="仿宋" w:eastAsia="仿宋" w:cs="仿宋_GB2312"/>
          <w:bCs/>
          <w:color w:val="auto"/>
          <w:sz w:val="32"/>
          <w:szCs w:val="32"/>
          <w:highlight w:val="none"/>
        </w:rPr>
      </w:pPr>
      <w:r>
        <w:rPr>
          <w:rFonts w:hint="eastAsia" w:ascii="仿宋" w:hAnsi="仿宋" w:eastAsia="仿宋" w:cs="Arial"/>
          <w:color w:val="auto"/>
          <w:sz w:val="30"/>
          <w:highlight w:val="none"/>
        </w:rPr>
        <w:t>采购代理机构：</w:t>
      </w:r>
      <w:r>
        <w:rPr>
          <w:rFonts w:ascii="仿宋" w:hAnsi="仿宋" w:eastAsia="仿宋" w:cs="Arial"/>
          <w:color w:val="auto"/>
          <w:sz w:val="30"/>
          <w:highlight w:val="none"/>
        </w:rPr>
        <w:t>杭州意信招标代理有限公司</w:t>
      </w:r>
    </w:p>
    <w:p>
      <w:pPr>
        <w:snapToGrid w:val="0"/>
        <w:spacing w:line="360" w:lineRule="auto"/>
        <w:jc w:val="center"/>
        <w:rPr>
          <w:rFonts w:ascii="仿宋" w:hAnsi="仿宋" w:eastAsia="仿宋" w:cs="Arial"/>
          <w:color w:val="auto"/>
          <w:sz w:val="30"/>
          <w:highlight w:val="none"/>
        </w:rPr>
      </w:pPr>
      <w:r>
        <w:rPr>
          <w:rFonts w:hint="eastAsia" w:ascii="仿宋" w:hAnsi="仿宋" w:eastAsia="仿宋" w:cs="Arial"/>
          <w:color w:val="auto"/>
          <w:sz w:val="30"/>
          <w:highlight w:val="none"/>
        </w:rPr>
        <w:t>二〇二二年</w:t>
      </w:r>
      <w:r>
        <w:rPr>
          <w:rFonts w:hint="eastAsia" w:ascii="仿宋" w:hAnsi="仿宋" w:eastAsia="仿宋" w:cs="Arial"/>
          <w:color w:val="auto"/>
          <w:sz w:val="30"/>
          <w:highlight w:val="none"/>
          <w:lang w:val="en-US" w:eastAsia="zh-CN"/>
        </w:rPr>
        <w:t>九</w:t>
      </w:r>
      <w:r>
        <w:rPr>
          <w:rFonts w:hint="eastAsia" w:ascii="仿宋" w:hAnsi="仿宋" w:eastAsia="仿宋" w:cs="Arial"/>
          <w:color w:val="auto"/>
          <w:sz w:val="30"/>
          <w:highlight w:val="none"/>
        </w:rPr>
        <w:t>月</w:t>
      </w:r>
      <w:r>
        <w:rPr>
          <w:rFonts w:hint="eastAsia" w:ascii="仿宋" w:hAnsi="仿宋" w:eastAsia="仿宋" w:cs="Arial"/>
          <w:color w:val="auto"/>
          <w:sz w:val="30"/>
          <w:highlight w:val="none"/>
          <w:lang w:val="en-US" w:eastAsia="zh-CN"/>
        </w:rPr>
        <w:t>三十</w:t>
      </w:r>
      <w:r>
        <w:rPr>
          <w:rFonts w:hint="eastAsia" w:ascii="仿宋" w:hAnsi="仿宋" w:eastAsia="仿宋" w:cs="Arial"/>
          <w:color w:val="auto"/>
          <w:sz w:val="30"/>
          <w:highlight w:val="none"/>
        </w:rPr>
        <w:t>日</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第一部分招标公告</w:t>
      </w: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第二部分投标人须知</w:t>
      </w: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第三部分采购需求</w:t>
      </w: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第四部分评标办法</w:t>
      </w: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第五部分拟签订的合同文本</w:t>
      </w:r>
    </w:p>
    <w:p>
      <w:pPr>
        <w:spacing w:line="360" w:lineRule="auto"/>
        <w:ind w:firstLine="1281"/>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jc w:val="center"/>
        <w:outlineLvl w:val="0"/>
        <w:rPr>
          <w:rFonts w:ascii="仿宋" w:hAnsi="仿宋" w:eastAsia="仿宋"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w:t>
      </w:r>
      <w:r>
        <w:rPr>
          <w:rFonts w:ascii="仿宋" w:hAnsi="仿宋" w:eastAsia="仿宋" w:cs="仿宋_GB2312"/>
          <w:b/>
          <w:color w:val="auto"/>
          <w:sz w:val="36"/>
          <w:szCs w:val="36"/>
          <w:highlight w:val="none"/>
        </w:rPr>
        <w:t xml:space="preserve">部分 </w:t>
      </w:r>
      <w:r>
        <w:rPr>
          <w:rFonts w:hint="eastAsia" w:ascii="仿宋" w:hAnsi="仿宋" w:eastAsia="仿宋" w:cs="仿宋_GB2312"/>
          <w:b/>
          <w:color w:val="auto"/>
          <w:sz w:val="36"/>
          <w:szCs w:val="20"/>
          <w:highlight w:val="none"/>
        </w:rPr>
        <w:t>招标公告</w:t>
      </w:r>
    </w:p>
    <w:p>
      <w:pPr>
        <w:pBdr>
          <w:top w:val="single" w:color="auto" w:sz="4" w:space="1"/>
          <w:left w:val="single" w:color="auto" w:sz="4" w:space="4"/>
          <w:bottom w:val="single" w:color="auto" w:sz="4" w:space="0"/>
          <w:right w:val="single" w:color="auto" w:sz="4" w:space="4"/>
        </w:pBd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0"/>
          <w:right w:val="single" w:color="auto" w:sz="4" w:space="4"/>
        </w:pBdr>
        <w:spacing w:line="360" w:lineRule="auto"/>
        <w:ind w:firstLine="480" w:firstLineChars="200"/>
        <w:rPr>
          <w:rFonts w:ascii="仿宋" w:hAnsi="仿宋" w:eastAsia="仿宋"/>
          <w:color w:val="auto"/>
          <w:sz w:val="24"/>
          <w:highlight w:val="none"/>
          <w:u w:val="single"/>
        </w:rPr>
      </w:pPr>
      <w:r>
        <w:rPr>
          <w:rFonts w:hint="eastAsia" w:ascii="仿宋" w:hAnsi="仿宋" w:eastAsia="仿宋" w:cs="仿宋_GB2312"/>
          <w:color w:val="auto"/>
          <w:sz w:val="24"/>
          <w:highlight w:val="none"/>
          <w:u w:val="single"/>
          <w:lang w:eastAsia="zh-CN"/>
        </w:rPr>
        <w:t>杭州市温室气体手工监测及碳通量评估项目</w:t>
      </w:r>
      <w:r>
        <w:rPr>
          <w:rFonts w:hint="eastAsia" w:ascii="仿宋" w:hAnsi="仿宋" w:eastAsia="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"https://www.zcygov.cn/）获取（下载）招标文件，并于2022%20年%20月%20日%20点%20分00秒" </w:instrText>
      </w:r>
      <w:r>
        <w:rPr>
          <w:color w:val="auto"/>
          <w:highlight w:val="none"/>
        </w:rPr>
        <w:fldChar w:fldCharType="separate"/>
      </w:r>
      <w:r>
        <w:rPr>
          <w:rStyle w:val="78"/>
          <w:rFonts w:ascii="仿宋" w:hAnsi="仿宋" w:eastAsia="仿宋" w:cs="Times New Roman"/>
          <w:snapToGrid/>
          <w:color w:val="auto"/>
          <w:kern w:val="2"/>
          <w:sz w:val="24"/>
          <w:szCs w:val="24"/>
          <w:highlight w:val="none"/>
        </w:rPr>
        <w:t>https://www.zcygov.cn/）获取（下载）招标文件，并于</w:t>
      </w:r>
      <w:r>
        <w:rPr>
          <w:rStyle w:val="78"/>
          <w:rFonts w:hint="eastAsia" w:ascii="仿宋" w:hAnsi="仿宋" w:eastAsia="仿宋" w:cs="Times New Roman"/>
          <w:snapToGrid/>
          <w:color w:val="auto"/>
          <w:kern w:val="2"/>
          <w:sz w:val="24"/>
          <w:szCs w:val="24"/>
          <w:highlight w:val="none"/>
        </w:rPr>
        <w:t>202</w:t>
      </w:r>
      <w:r>
        <w:rPr>
          <w:rStyle w:val="78"/>
          <w:rFonts w:ascii="仿宋" w:hAnsi="仿宋" w:eastAsia="仿宋" w:cs="Times New Roman"/>
          <w:snapToGrid/>
          <w:color w:val="auto"/>
          <w:kern w:val="2"/>
          <w:sz w:val="24"/>
          <w:szCs w:val="24"/>
          <w:highlight w:val="none"/>
        </w:rPr>
        <w:t>2年</w:t>
      </w:r>
      <w:r>
        <w:rPr>
          <w:rStyle w:val="78"/>
          <w:rFonts w:hint="eastAsia" w:ascii="仿宋" w:hAnsi="仿宋" w:eastAsia="仿宋" w:cs="Times New Roman"/>
          <w:snapToGrid/>
          <w:color w:val="auto"/>
          <w:kern w:val="2"/>
          <w:sz w:val="24"/>
          <w:szCs w:val="24"/>
          <w:highlight w:val="none"/>
          <w:lang w:val="en-US" w:eastAsia="zh-CN"/>
        </w:rPr>
        <w:t>10</w:t>
      </w:r>
      <w:r>
        <w:rPr>
          <w:rStyle w:val="78"/>
          <w:rFonts w:hint="eastAsia" w:ascii="仿宋" w:hAnsi="仿宋" w:eastAsia="仿宋" w:cs="Times New Roman"/>
          <w:snapToGrid/>
          <w:color w:val="auto"/>
          <w:kern w:val="2"/>
          <w:sz w:val="24"/>
          <w:szCs w:val="24"/>
          <w:highlight w:val="none"/>
        </w:rPr>
        <w:t>月</w:t>
      </w:r>
      <w:r>
        <w:rPr>
          <w:rStyle w:val="78"/>
          <w:rFonts w:hint="eastAsia" w:ascii="仿宋" w:hAnsi="仿宋" w:eastAsia="仿宋" w:cs="Times New Roman"/>
          <w:snapToGrid/>
          <w:color w:val="auto"/>
          <w:kern w:val="2"/>
          <w:sz w:val="24"/>
          <w:szCs w:val="24"/>
          <w:highlight w:val="none"/>
          <w:lang w:val="en-US" w:eastAsia="zh-CN"/>
        </w:rPr>
        <w:t>21</w:t>
      </w:r>
      <w:r>
        <w:rPr>
          <w:rStyle w:val="78"/>
          <w:rFonts w:hint="eastAsia" w:ascii="仿宋" w:hAnsi="仿宋" w:eastAsia="仿宋" w:cs="Times New Roman"/>
          <w:snapToGrid/>
          <w:color w:val="auto"/>
          <w:kern w:val="2"/>
          <w:sz w:val="24"/>
          <w:szCs w:val="24"/>
          <w:highlight w:val="none"/>
        </w:rPr>
        <w:t>日</w:t>
      </w:r>
      <w:r>
        <w:rPr>
          <w:rStyle w:val="78"/>
          <w:rFonts w:hint="eastAsia" w:ascii="仿宋" w:hAnsi="仿宋" w:eastAsia="仿宋" w:cs="Times New Roman"/>
          <w:snapToGrid/>
          <w:color w:val="auto"/>
          <w:kern w:val="2"/>
          <w:sz w:val="24"/>
          <w:szCs w:val="24"/>
          <w:highlight w:val="none"/>
          <w:lang w:val="en-US" w:eastAsia="zh-CN"/>
        </w:rPr>
        <w:t>09</w:t>
      </w:r>
      <w:r>
        <w:rPr>
          <w:rStyle w:val="78"/>
          <w:rFonts w:hint="eastAsia" w:ascii="仿宋" w:hAnsi="仿宋" w:eastAsia="仿宋" w:cs="Times New Roman"/>
          <w:snapToGrid/>
          <w:color w:val="auto"/>
          <w:kern w:val="2"/>
          <w:sz w:val="24"/>
          <w:szCs w:val="24"/>
          <w:highlight w:val="none"/>
        </w:rPr>
        <w:t>点</w:t>
      </w:r>
      <w:r>
        <w:rPr>
          <w:rStyle w:val="78"/>
          <w:rFonts w:hint="eastAsia" w:ascii="仿宋" w:hAnsi="仿宋" w:eastAsia="仿宋" w:cs="Times New Roman"/>
          <w:snapToGrid/>
          <w:color w:val="auto"/>
          <w:kern w:val="2"/>
          <w:sz w:val="24"/>
          <w:szCs w:val="24"/>
          <w:highlight w:val="none"/>
          <w:lang w:val="en-US" w:eastAsia="zh-CN"/>
        </w:rPr>
        <w:t>3</w:t>
      </w:r>
      <w:r>
        <w:rPr>
          <w:rStyle w:val="78"/>
          <w:rFonts w:hint="eastAsia" w:ascii="仿宋" w:hAnsi="仿宋" w:eastAsia="仿宋" w:cs="Times New Roman"/>
          <w:snapToGrid/>
          <w:color w:val="auto"/>
          <w:kern w:val="2"/>
          <w:sz w:val="24"/>
          <w:szCs w:val="24"/>
          <w:highlight w:val="none"/>
        </w:rPr>
        <w:t>0分</w:t>
      </w:r>
      <w:r>
        <w:rPr>
          <w:rStyle w:val="78"/>
          <w:rFonts w:hint="eastAsia" w:ascii="仿宋" w:hAnsi="仿宋" w:eastAsia="仿宋" w:cs="Times New Roman"/>
          <w:bCs/>
          <w:snapToGrid/>
          <w:color w:val="auto"/>
          <w:kern w:val="2"/>
          <w:sz w:val="24"/>
          <w:szCs w:val="24"/>
          <w:highlight w:val="none"/>
        </w:rPr>
        <w:t>00秒</w:t>
      </w:r>
      <w:r>
        <w:rPr>
          <w:rStyle w:val="78"/>
          <w:rFonts w:hint="eastAsia" w:ascii="仿宋" w:hAnsi="仿宋" w:eastAsia="仿宋" w:cs="Times New Roman"/>
          <w:bCs/>
          <w:snapToGrid/>
          <w:color w:val="auto"/>
          <w:kern w:val="2"/>
          <w:sz w:val="24"/>
          <w:szCs w:val="24"/>
          <w:highlight w:val="none"/>
        </w:rPr>
        <w:fldChar w:fldCharType="end"/>
      </w:r>
      <w:r>
        <w:rPr>
          <w:rFonts w:hint="eastAsia" w:ascii="仿宋" w:hAnsi="仿宋" w:eastAsia="仿宋"/>
          <w:bCs/>
          <w:color w:val="auto"/>
          <w:sz w:val="24"/>
          <w:highlight w:val="none"/>
        </w:rPr>
        <w:t>（北京时间）前</w:t>
      </w:r>
      <w:r>
        <w:rPr>
          <w:rFonts w:hint="eastAsia" w:ascii="仿宋" w:hAnsi="仿宋" w:eastAsia="仿宋"/>
          <w:color w:val="auto"/>
          <w:sz w:val="24"/>
          <w:highlight w:val="none"/>
        </w:rPr>
        <w:t>递交（上传）投标文件。</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一、项目基本情况</w:t>
      </w:r>
    </w:p>
    <w:p>
      <w:pPr>
        <w:spacing w:line="360" w:lineRule="auto"/>
        <w:ind w:firstLine="482" w:firstLineChars="200"/>
        <w:rPr>
          <w:rFonts w:hint="eastAsia" w:ascii="仿宋" w:hAnsi="仿宋" w:eastAsia="仿宋"/>
          <w:b w:val="0"/>
          <w:bCs/>
          <w:color w:val="auto"/>
          <w:sz w:val="24"/>
          <w:highlight w:val="none"/>
          <w:lang w:eastAsia="zh-CN"/>
        </w:rPr>
      </w:pPr>
      <w:r>
        <w:rPr>
          <w:rFonts w:hint="eastAsia" w:ascii="仿宋" w:hAnsi="仿宋" w:eastAsia="仿宋"/>
          <w:b/>
          <w:color w:val="auto"/>
          <w:sz w:val="24"/>
          <w:highlight w:val="none"/>
        </w:rPr>
        <w:t>项目编号：</w:t>
      </w:r>
      <w:r>
        <w:rPr>
          <w:rFonts w:hint="eastAsia" w:ascii="仿宋" w:hAnsi="仿宋" w:eastAsia="仿宋"/>
          <w:b w:val="0"/>
          <w:bCs/>
          <w:color w:val="auto"/>
          <w:sz w:val="24"/>
          <w:highlight w:val="none"/>
          <w:lang w:eastAsia="zh-CN"/>
        </w:rPr>
        <w:t>HZYX-HJ-22325GK</w:t>
      </w:r>
    </w:p>
    <w:p>
      <w:pPr>
        <w:spacing w:line="360" w:lineRule="auto"/>
        <w:ind w:firstLine="482" w:firstLineChars="200"/>
        <w:rPr>
          <w:rFonts w:hint="eastAsia" w:ascii="仿宋" w:hAnsi="仿宋" w:eastAsia="仿宋"/>
          <w:b/>
          <w:color w:val="auto"/>
          <w:sz w:val="24"/>
          <w:highlight w:val="none"/>
          <w:lang w:eastAsia="zh-CN"/>
        </w:rPr>
      </w:pPr>
      <w:r>
        <w:rPr>
          <w:rFonts w:ascii="仿宋" w:hAnsi="仿宋" w:eastAsia="仿宋"/>
          <w:b/>
          <w:color w:val="auto"/>
          <w:sz w:val="24"/>
          <w:highlight w:val="none"/>
        </w:rPr>
        <w:t>项目名称：</w:t>
      </w:r>
      <w:r>
        <w:rPr>
          <w:rFonts w:hint="eastAsia" w:ascii="仿宋" w:hAnsi="仿宋" w:eastAsia="仿宋"/>
          <w:b w:val="0"/>
          <w:bCs/>
          <w:color w:val="auto"/>
          <w:sz w:val="24"/>
          <w:highlight w:val="none"/>
          <w:lang w:eastAsia="zh-CN"/>
        </w:rPr>
        <w:t>杭州市温室气体手工监测及碳通量评估项目</w:t>
      </w:r>
    </w:p>
    <w:p>
      <w:pPr>
        <w:spacing w:line="360" w:lineRule="auto"/>
        <w:ind w:firstLine="482" w:firstLineChars="200"/>
        <w:rPr>
          <w:rFonts w:hint="default" w:ascii="仿宋" w:hAnsi="仿宋" w:eastAsia="仿宋"/>
          <w:color w:val="auto"/>
          <w:sz w:val="24"/>
          <w:highlight w:val="none"/>
          <w:lang w:val="en-US" w:eastAsia="zh-CN"/>
        </w:rPr>
      </w:pPr>
      <w:r>
        <w:rPr>
          <w:rFonts w:ascii="仿宋" w:hAnsi="仿宋" w:eastAsia="仿宋"/>
          <w:b/>
          <w:color w:val="auto"/>
          <w:sz w:val="24"/>
          <w:highlight w:val="none"/>
        </w:rPr>
        <w:t>预算金额（元）：</w:t>
      </w:r>
      <w:r>
        <w:rPr>
          <w:rFonts w:hint="eastAsia" w:ascii="仿宋" w:hAnsi="仿宋" w:eastAsia="仿宋"/>
          <w:b w:val="0"/>
          <w:bCs/>
          <w:color w:val="auto"/>
          <w:sz w:val="24"/>
          <w:highlight w:val="none"/>
          <w:lang w:val="en-US" w:eastAsia="zh-CN"/>
        </w:rPr>
        <w:t>7090000.00</w:t>
      </w:r>
    </w:p>
    <w:p>
      <w:pPr>
        <w:spacing w:line="360" w:lineRule="auto"/>
        <w:ind w:firstLine="482" w:firstLineChars="200"/>
        <w:rPr>
          <w:rFonts w:hint="default" w:ascii="仿宋" w:hAnsi="仿宋" w:eastAsia="仿宋"/>
          <w:color w:val="auto"/>
          <w:sz w:val="24"/>
          <w:highlight w:val="none"/>
          <w:lang w:val="en-US" w:eastAsia="zh-CN"/>
        </w:rPr>
      </w:pPr>
      <w:r>
        <w:rPr>
          <w:rFonts w:hint="eastAsia" w:ascii="仿宋" w:hAnsi="仿宋" w:eastAsia="仿宋"/>
          <w:b/>
          <w:color w:val="auto"/>
          <w:sz w:val="24"/>
          <w:highlight w:val="none"/>
        </w:rPr>
        <w:t>最高限价（元）：</w:t>
      </w:r>
      <w:r>
        <w:rPr>
          <w:rFonts w:hint="eastAsia" w:ascii="仿宋" w:hAnsi="仿宋" w:eastAsia="仿宋"/>
          <w:bCs/>
          <w:color w:val="auto"/>
          <w:sz w:val="24"/>
          <w:highlight w:val="none"/>
        </w:rPr>
        <w:t>标项一：</w:t>
      </w:r>
      <w:r>
        <w:rPr>
          <w:rFonts w:hint="eastAsia" w:ascii="仿宋" w:hAnsi="仿宋" w:eastAsia="仿宋"/>
          <w:bCs/>
          <w:color w:val="auto"/>
          <w:sz w:val="24"/>
          <w:highlight w:val="none"/>
          <w:lang w:val="en-US" w:eastAsia="zh-CN"/>
        </w:rPr>
        <w:t>3690000.00</w:t>
      </w:r>
      <w:r>
        <w:rPr>
          <w:rFonts w:hint="eastAsia" w:ascii="仿宋" w:hAnsi="仿宋" w:eastAsia="仿宋"/>
          <w:bCs/>
          <w:color w:val="auto"/>
          <w:sz w:val="24"/>
          <w:highlight w:val="none"/>
        </w:rPr>
        <w:t>，标项二：</w:t>
      </w:r>
      <w:r>
        <w:rPr>
          <w:rFonts w:hint="eastAsia" w:ascii="仿宋" w:hAnsi="仿宋" w:eastAsia="仿宋"/>
          <w:bCs/>
          <w:color w:val="auto"/>
          <w:sz w:val="24"/>
          <w:highlight w:val="none"/>
          <w:lang w:val="en-US" w:eastAsia="zh-CN"/>
        </w:rPr>
        <w:t>3400000.00</w:t>
      </w:r>
    </w:p>
    <w:p>
      <w:pPr>
        <w:pStyle w:val="18"/>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采购需求：</w:t>
      </w:r>
    </w:p>
    <w:p>
      <w:pPr>
        <w:pStyle w:val="18"/>
        <w:spacing w:line="360" w:lineRule="auto"/>
        <w:ind w:firstLine="482" w:firstLineChars="200"/>
        <w:rPr>
          <w:rFonts w:ascii="仿宋" w:hAnsi="仿宋" w:eastAsia="仿宋"/>
          <w:b/>
          <w:snapToGrid/>
          <w:color w:val="auto"/>
          <w:kern w:val="2"/>
          <w:sz w:val="24"/>
          <w:szCs w:val="24"/>
          <w:highlight w:val="none"/>
        </w:rPr>
      </w:pPr>
      <w:r>
        <w:rPr>
          <w:rFonts w:hint="eastAsia" w:ascii="仿宋" w:hAnsi="仿宋" w:eastAsia="仿宋"/>
          <w:b/>
          <w:snapToGrid/>
          <w:color w:val="auto"/>
          <w:kern w:val="2"/>
          <w:sz w:val="24"/>
          <w:szCs w:val="24"/>
          <w:highlight w:val="none"/>
        </w:rPr>
        <w:t>标项一</w:t>
      </w:r>
    </w:p>
    <w:p>
      <w:pPr>
        <w:pStyle w:val="18"/>
        <w:spacing w:line="360" w:lineRule="auto"/>
        <w:ind w:firstLine="482" w:firstLineChars="200"/>
        <w:rPr>
          <w:rFonts w:hint="default" w:ascii="仿宋" w:hAnsi="仿宋" w:eastAsia="仿宋"/>
          <w:b/>
          <w:bCs w:val="0"/>
          <w:snapToGrid/>
          <w:color w:val="auto"/>
          <w:kern w:val="2"/>
          <w:sz w:val="24"/>
          <w:szCs w:val="24"/>
          <w:highlight w:val="none"/>
          <w:lang w:val="en-US"/>
        </w:rPr>
      </w:pPr>
      <w:r>
        <w:rPr>
          <w:rFonts w:hint="eastAsia" w:ascii="仿宋" w:hAnsi="仿宋" w:eastAsia="仿宋"/>
          <w:b/>
          <w:snapToGrid/>
          <w:color w:val="auto"/>
          <w:kern w:val="2"/>
          <w:sz w:val="24"/>
          <w:szCs w:val="24"/>
          <w:highlight w:val="none"/>
        </w:rPr>
        <w:t>标项名称</w:t>
      </w:r>
      <w:r>
        <w:rPr>
          <w:rFonts w:hint="eastAsia" w:ascii="仿宋" w:hAnsi="仿宋" w:eastAsia="仿宋"/>
          <w:b/>
          <w:bCs w:val="0"/>
          <w:snapToGrid/>
          <w:color w:val="auto"/>
          <w:kern w:val="2"/>
          <w:sz w:val="24"/>
          <w:szCs w:val="24"/>
          <w:highlight w:val="none"/>
        </w:rPr>
        <w:t>：</w:t>
      </w:r>
      <w:r>
        <w:rPr>
          <w:rFonts w:hint="eastAsia" w:ascii="仿宋" w:hAnsi="仿宋" w:eastAsia="仿宋"/>
          <w:b/>
          <w:bCs w:val="0"/>
          <w:snapToGrid/>
          <w:color w:val="auto"/>
          <w:kern w:val="2"/>
          <w:sz w:val="24"/>
          <w:szCs w:val="24"/>
          <w:highlight w:val="none"/>
          <w:lang w:val="en-US" w:eastAsia="zh-CN"/>
        </w:rPr>
        <w:t>温室气体手工监测及移动监测服务项目</w:t>
      </w:r>
    </w:p>
    <w:p>
      <w:pPr>
        <w:pStyle w:val="18"/>
        <w:spacing w:line="360" w:lineRule="auto"/>
        <w:ind w:firstLine="482" w:firstLineChars="200"/>
        <w:rPr>
          <w:rFonts w:ascii="仿宋" w:hAnsi="仿宋" w:eastAsia="仿宋"/>
          <w:b/>
          <w:snapToGrid/>
          <w:color w:val="auto"/>
          <w:kern w:val="2"/>
          <w:sz w:val="24"/>
          <w:szCs w:val="24"/>
          <w:highlight w:val="none"/>
        </w:rPr>
      </w:pPr>
      <w:r>
        <w:rPr>
          <w:rFonts w:hint="eastAsia" w:ascii="仿宋" w:hAnsi="仿宋" w:eastAsia="仿宋"/>
          <w:b/>
          <w:snapToGrid/>
          <w:color w:val="auto"/>
          <w:kern w:val="2"/>
          <w:sz w:val="24"/>
          <w:szCs w:val="24"/>
          <w:highlight w:val="none"/>
        </w:rPr>
        <w:t>数量：1</w:t>
      </w:r>
    </w:p>
    <w:p>
      <w:pPr>
        <w:pStyle w:val="18"/>
        <w:spacing w:line="360" w:lineRule="auto"/>
        <w:ind w:firstLine="482" w:firstLineChars="200"/>
        <w:rPr>
          <w:rFonts w:hint="default" w:ascii="仿宋" w:hAnsi="仿宋" w:eastAsia="仿宋"/>
          <w:b/>
          <w:snapToGrid/>
          <w:color w:val="auto"/>
          <w:kern w:val="2"/>
          <w:sz w:val="24"/>
          <w:szCs w:val="24"/>
          <w:highlight w:val="none"/>
          <w:lang w:val="en-US" w:eastAsia="zh-CN"/>
        </w:rPr>
      </w:pPr>
      <w:r>
        <w:rPr>
          <w:rFonts w:hint="eastAsia" w:ascii="仿宋" w:hAnsi="仿宋" w:eastAsia="仿宋"/>
          <w:b/>
          <w:snapToGrid/>
          <w:color w:val="auto"/>
          <w:kern w:val="2"/>
          <w:sz w:val="24"/>
          <w:szCs w:val="24"/>
          <w:highlight w:val="none"/>
        </w:rPr>
        <w:t>预算金额（元）：</w:t>
      </w:r>
      <w:r>
        <w:rPr>
          <w:rFonts w:hint="eastAsia" w:ascii="仿宋" w:hAnsi="仿宋" w:eastAsia="仿宋"/>
          <w:b w:val="0"/>
          <w:bCs/>
          <w:snapToGrid/>
          <w:color w:val="auto"/>
          <w:kern w:val="2"/>
          <w:sz w:val="24"/>
          <w:szCs w:val="24"/>
          <w:highlight w:val="none"/>
          <w:lang w:val="en-US" w:eastAsia="zh-CN"/>
        </w:rPr>
        <w:t>3690000.00</w:t>
      </w:r>
    </w:p>
    <w:p>
      <w:pPr>
        <w:pStyle w:val="18"/>
        <w:spacing w:line="360" w:lineRule="auto"/>
        <w:ind w:firstLine="482" w:firstLineChars="200"/>
        <w:rPr>
          <w:rFonts w:ascii="仿宋" w:hAnsi="仿宋" w:eastAsia="仿宋"/>
          <w:bCs/>
          <w:snapToGrid/>
          <w:color w:val="auto"/>
          <w:kern w:val="2"/>
          <w:sz w:val="24"/>
          <w:szCs w:val="24"/>
          <w:highlight w:val="none"/>
        </w:rPr>
      </w:pPr>
      <w:r>
        <w:rPr>
          <w:rFonts w:hint="eastAsia" w:ascii="仿宋" w:hAnsi="仿宋" w:eastAsia="仿宋"/>
          <w:b/>
          <w:snapToGrid/>
          <w:color w:val="auto"/>
          <w:kern w:val="2"/>
          <w:sz w:val="24"/>
          <w:szCs w:val="24"/>
          <w:highlight w:val="none"/>
        </w:rPr>
        <w:t>简要规格描述或项目基本概况介绍：</w:t>
      </w:r>
      <w:r>
        <w:rPr>
          <w:rFonts w:hint="eastAsia" w:ascii="仿宋" w:hAnsi="仿宋" w:eastAsia="仿宋"/>
          <w:b w:val="0"/>
          <w:bCs/>
          <w:snapToGrid/>
          <w:color w:val="auto"/>
          <w:kern w:val="2"/>
          <w:sz w:val="24"/>
          <w:szCs w:val="24"/>
          <w:highlight w:val="none"/>
        </w:rPr>
        <w:t>温室气体手工监测及移动监测服务项目，拟通过技术服务采购的方式，满足杭州市碳监测综合试点工作的要求。开展半年温室气体手工采样与分析，一年半</w:t>
      </w:r>
      <w:r>
        <w:rPr>
          <w:rFonts w:hint="eastAsia" w:ascii="仿宋" w:hAnsi="仿宋" w:eastAsia="仿宋"/>
          <w:b w:val="0"/>
          <w:bCs/>
          <w:snapToGrid/>
          <w:color w:val="auto"/>
          <w:kern w:val="2"/>
          <w:sz w:val="24"/>
          <w:szCs w:val="24"/>
          <w:highlight w:val="none"/>
          <w:vertAlign w:val="superscript"/>
        </w:rPr>
        <w:t>14</w:t>
      </w:r>
      <w:r>
        <w:rPr>
          <w:rFonts w:hint="eastAsia" w:ascii="仿宋" w:hAnsi="仿宋" w:eastAsia="仿宋"/>
          <w:b w:val="0"/>
          <w:bCs/>
          <w:snapToGrid/>
          <w:color w:val="auto"/>
          <w:kern w:val="2"/>
          <w:sz w:val="24"/>
          <w:szCs w:val="24"/>
          <w:highlight w:val="none"/>
        </w:rPr>
        <w:t>CO</w:t>
      </w:r>
      <w:r>
        <w:rPr>
          <w:rFonts w:hint="eastAsia" w:ascii="仿宋" w:hAnsi="仿宋" w:eastAsia="仿宋"/>
          <w:b w:val="0"/>
          <w:bCs/>
          <w:snapToGrid/>
          <w:color w:val="auto"/>
          <w:kern w:val="2"/>
          <w:sz w:val="24"/>
          <w:szCs w:val="24"/>
          <w:highlight w:val="none"/>
          <w:vertAlign w:val="subscript"/>
        </w:rPr>
        <w:t>2</w:t>
      </w:r>
      <w:r>
        <w:rPr>
          <w:rFonts w:hint="eastAsia" w:ascii="仿宋" w:hAnsi="仿宋" w:eastAsia="仿宋"/>
          <w:b w:val="0"/>
          <w:bCs/>
          <w:snapToGrid/>
          <w:color w:val="auto"/>
          <w:kern w:val="2"/>
          <w:sz w:val="24"/>
          <w:szCs w:val="24"/>
          <w:highlight w:val="none"/>
        </w:rPr>
        <w:t>手工采样与分析，2年走航及无人机监测,并进行数据分析。</w:t>
      </w:r>
      <w:r>
        <w:rPr>
          <w:rFonts w:hint="eastAsia" w:ascii="仿宋" w:hAnsi="仿宋" w:eastAsia="仿宋"/>
          <w:bCs/>
          <w:snapToGrid/>
          <w:color w:val="auto"/>
          <w:kern w:val="2"/>
          <w:sz w:val="24"/>
          <w:szCs w:val="24"/>
          <w:highlight w:val="none"/>
        </w:rPr>
        <w:t>详见招标文件第三部分采购需求。</w:t>
      </w:r>
    </w:p>
    <w:p>
      <w:pPr>
        <w:pStyle w:val="18"/>
        <w:spacing w:line="360" w:lineRule="auto"/>
        <w:ind w:firstLine="482" w:firstLineChars="200"/>
        <w:rPr>
          <w:rFonts w:hint="eastAsia" w:ascii="仿宋" w:hAnsi="仿宋" w:eastAsia="仿宋"/>
          <w:b/>
          <w:snapToGrid/>
          <w:color w:val="auto"/>
          <w:kern w:val="2"/>
          <w:sz w:val="24"/>
          <w:szCs w:val="24"/>
          <w:highlight w:val="none"/>
          <w:lang w:eastAsia="zh-CN"/>
        </w:rPr>
      </w:pPr>
      <w:r>
        <w:rPr>
          <w:rFonts w:hint="eastAsia" w:ascii="仿宋" w:hAnsi="仿宋" w:eastAsia="仿宋"/>
          <w:b/>
          <w:snapToGrid/>
          <w:color w:val="auto"/>
          <w:kern w:val="2"/>
          <w:sz w:val="24"/>
          <w:szCs w:val="24"/>
          <w:highlight w:val="none"/>
        </w:rPr>
        <w:t>标项</w:t>
      </w:r>
      <w:r>
        <w:rPr>
          <w:rFonts w:hint="eastAsia" w:ascii="仿宋" w:hAnsi="仿宋" w:eastAsia="仿宋"/>
          <w:b/>
          <w:snapToGrid/>
          <w:color w:val="auto"/>
          <w:kern w:val="2"/>
          <w:sz w:val="24"/>
          <w:szCs w:val="24"/>
          <w:highlight w:val="none"/>
          <w:lang w:val="en-US" w:eastAsia="zh-CN"/>
        </w:rPr>
        <w:t>二</w:t>
      </w:r>
    </w:p>
    <w:p>
      <w:pPr>
        <w:pStyle w:val="18"/>
        <w:spacing w:line="360" w:lineRule="auto"/>
        <w:ind w:firstLine="482" w:firstLineChars="200"/>
        <w:rPr>
          <w:rFonts w:hint="eastAsia" w:ascii="仿宋" w:hAnsi="仿宋" w:eastAsia="仿宋"/>
          <w:b/>
          <w:snapToGrid/>
          <w:color w:val="auto"/>
          <w:kern w:val="2"/>
          <w:sz w:val="24"/>
          <w:szCs w:val="24"/>
          <w:highlight w:val="none"/>
          <w:lang w:val="en-US" w:eastAsia="zh-CN"/>
        </w:rPr>
      </w:pPr>
      <w:r>
        <w:rPr>
          <w:rFonts w:hint="eastAsia" w:ascii="仿宋" w:hAnsi="仿宋" w:eastAsia="仿宋"/>
          <w:b/>
          <w:snapToGrid/>
          <w:color w:val="auto"/>
          <w:kern w:val="2"/>
          <w:sz w:val="24"/>
          <w:szCs w:val="24"/>
          <w:highlight w:val="none"/>
        </w:rPr>
        <w:t>标项名称：</w:t>
      </w:r>
      <w:r>
        <w:rPr>
          <w:rFonts w:hint="eastAsia" w:ascii="仿宋" w:hAnsi="仿宋" w:eastAsia="仿宋"/>
          <w:b/>
          <w:snapToGrid/>
          <w:color w:val="auto"/>
          <w:kern w:val="2"/>
          <w:sz w:val="24"/>
          <w:szCs w:val="24"/>
          <w:highlight w:val="none"/>
          <w:lang w:eastAsia="zh-CN"/>
        </w:rPr>
        <w:t>杭州市温室气体同化反演及通量核算服务</w:t>
      </w:r>
    </w:p>
    <w:p>
      <w:pPr>
        <w:pStyle w:val="18"/>
        <w:spacing w:line="360" w:lineRule="auto"/>
        <w:ind w:firstLine="482" w:firstLineChars="200"/>
        <w:rPr>
          <w:rFonts w:ascii="仿宋" w:hAnsi="仿宋" w:eastAsia="仿宋"/>
          <w:b/>
          <w:snapToGrid/>
          <w:color w:val="auto"/>
          <w:kern w:val="2"/>
          <w:sz w:val="24"/>
          <w:szCs w:val="24"/>
          <w:highlight w:val="none"/>
        </w:rPr>
      </w:pPr>
      <w:r>
        <w:rPr>
          <w:rFonts w:hint="eastAsia" w:ascii="仿宋" w:hAnsi="仿宋" w:eastAsia="仿宋"/>
          <w:b/>
          <w:snapToGrid/>
          <w:color w:val="auto"/>
          <w:kern w:val="2"/>
          <w:sz w:val="24"/>
          <w:szCs w:val="24"/>
          <w:highlight w:val="none"/>
        </w:rPr>
        <w:t>数量：1</w:t>
      </w:r>
    </w:p>
    <w:p>
      <w:pPr>
        <w:pStyle w:val="18"/>
        <w:spacing w:line="360" w:lineRule="auto"/>
        <w:ind w:firstLine="482" w:firstLineChars="200"/>
        <w:rPr>
          <w:rFonts w:hint="default" w:ascii="仿宋" w:hAnsi="仿宋" w:eastAsia="仿宋"/>
          <w:b/>
          <w:snapToGrid/>
          <w:color w:val="auto"/>
          <w:kern w:val="2"/>
          <w:sz w:val="24"/>
          <w:szCs w:val="24"/>
          <w:highlight w:val="none"/>
          <w:lang w:val="en-US" w:eastAsia="zh-CN"/>
        </w:rPr>
      </w:pPr>
      <w:r>
        <w:rPr>
          <w:rFonts w:hint="eastAsia" w:ascii="仿宋" w:hAnsi="仿宋" w:eastAsia="仿宋"/>
          <w:b/>
          <w:snapToGrid/>
          <w:color w:val="auto"/>
          <w:kern w:val="2"/>
          <w:sz w:val="24"/>
          <w:szCs w:val="24"/>
          <w:highlight w:val="none"/>
        </w:rPr>
        <w:t>预算金额（元）：</w:t>
      </w:r>
      <w:r>
        <w:rPr>
          <w:rFonts w:hint="eastAsia" w:ascii="仿宋" w:hAnsi="仿宋" w:eastAsia="仿宋"/>
          <w:b w:val="0"/>
          <w:bCs/>
          <w:snapToGrid/>
          <w:color w:val="auto"/>
          <w:kern w:val="2"/>
          <w:sz w:val="24"/>
          <w:szCs w:val="24"/>
          <w:highlight w:val="none"/>
          <w:lang w:val="en-US" w:eastAsia="zh-CN"/>
        </w:rPr>
        <w:t>3400000.00</w:t>
      </w:r>
    </w:p>
    <w:p>
      <w:pPr>
        <w:pStyle w:val="18"/>
        <w:spacing w:line="360" w:lineRule="auto"/>
        <w:ind w:firstLine="482" w:firstLineChars="200"/>
        <w:rPr>
          <w:rFonts w:hint="eastAsia" w:ascii="仿宋" w:hAnsi="仿宋" w:eastAsia="仿宋"/>
          <w:b/>
          <w:color w:val="auto"/>
          <w:highlight w:val="none"/>
        </w:rPr>
      </w:pPr>
      <w:r>
        <w:rPr>
          <w:rFonts w:hint="eastAsia" w:ascii="仿宋" w:hAnsi="仿宋" w:eastAsia="仿宋"/>
          <w:b/>
          <w:snapToGrid/>
          <w:color w:val="auto"/>
          <w:kern w:val="2"/>
          <w:sz w:val="24"/>
          <w:szCs w:val="24"/>
          <w:highlight w:val="none"/>
        </w:rPr>
        <w:t>简要规格描述或项目基本概况介绍：</w:t>
      </w:r>
      <w:r>
        <w:rPr>
          <w:rFonts w:hint="eastAsia" w:ascii="仿宋" w:hAnsi="仿宋" w:eastAsia="仿宋"/>
          <w:b w:val="0"/>
          <w:bCs/>
          <w:snapToGrid/>
          <w:color w:val="auto"/>
          <w:kern w:val="2"/>
          <w:sz w:val="24"/>
          <w:szCs w:val="24"/>
          <w:highlight w:val="none"/>
        </w:rPr>
        <w:t>杭州市温室气体同化反演及通量核算服务，拟通过服务采购的方式，统筹多源地面温室气体试点观测站，强化数据处理技术的研发；通过区域多模式集合反演，实现杭州市多源温室气体监测数据同化，动态更新杭州市温室气体排放产品；结合卫星遥感数据和生态模型，分析杭州市碳通量的时空分布特征，了解影响碳通量和碳循环的关键因素；实现温室气体监测数据、基础清单数据、温室气体排放反演结果及碳通量模拟结果展示</w:t>
      </w:r>
      <w:r>
        <w:rPr>
          <w:rFonts w:hint="eastAsia" w:ascii="仿宋" w:hAnsi="仿宋" w:eastAsia="仿宋"/>
          <w:b w:val="0"/>
          <w:bCs/>
          <w:snapToGrid/>
          <w:color w:val="auto"/>
          <w:kern w:val="2"/>
          <w:sz w:val="24"/>
          <w:szCs w:val="24"/>
          <w:highlight w:val="none"/>
          <w:lang w:eastAsia="zh-CN"/>
        </w:rPr>
        <w:t>；</w:t>
      </w:r>
      <w:r>
        <w:rPr>
          <w:rFonts w:hint="eastAsia" w:ascii="仿宋" w:hAnsi="仿宋" w:eastAsia="仿宋"/>
          <w:b w:val="0"/>
          <w:bCs/>
          <w:snapToGrid/>
          <w:color w:val="auto"/>
          <w:kern w:val="2"/>
          <w:sz w:val="24"/>
          <w:szCs w:val="24"/>
          <w:highlight w:val="none"/>
        </w:rPr>
        <w:t>探索建立碳监测评估技术方法体系，形成业务化运行模式，总结经验做法，发挥示范效应，为应对气候变化工作成效评估提供数据支撑。</w:t>
      </w:r>
      <w:r>
        <w:rPr>
          <w:rFonts w:hint="eastAsia" w:ascii="仿宋" w:hAnsi="仿宋" w:eastAsia="仿宋"/>
          <w:bCs/>
          <w:snapToGrid/>
          <w:color w:val="auto"/>
          <w:kern w:val="2"/>
          <w:sz w:val="24"/>
          <w:szCs w:val="24"/>
          <w:highlight w:val="none"/>
        </w:rPr>
        <w:t>详见招标文件第三部分采购需求。</w:t>
      </w:r>
    </w:p>
    <w:p>
      <w:pPr>
        <w:pStyle w:val="130"/>
        <w:spacing w:before="0"/>
        <w:ind w:firstLine="482"/>
        <w:outlineLvl w:val="2"/>
        <w:rPr>
          <w:rFonts w:ascii="仿宋" w:hAnsi="仿宋" w:eastAsia="仿宋"/>
          <w:b/>
          <w:color w:val="auto"/>
          <w:highlight w:val="none"/>
        </w:rPr>
      </w:pPr>
      <w:r>
        <w:rPr>
          <w:rFonts w:hint="eastAsia" w:ascii="仿宋" w:hAnsi="仿宋" w:eastAsia="仿宋"/>
          <w:b/>
          <w:color w:val="auto"/>
          <w:highlight w:val="none"/>
        </w:rPr>
        <w:t>合同履约期限：</w:t>
      </w:r>
      <w:r>
        <w:rPr>
          <w:rFonts w:hint="eastAsia" w:ascii="仿宋" w:hAnsi="仿宋" w:eastAsia="仿宋" w:cs="Times New Roman"/>
          <w:b w:val="0"/>
          <w:bCs/>
          <w:snapToGrid/>
          <w:color w:val="auto"/>
          <w:kern w:val="2"/>
          <w:sz w:val="24"/>
          <w:szCs w:val="24"/>
          <w:highlight w:val="none"/>
          <w:lang w:val="en-US" w:eastAsia="zh-CN" w:bidi="ar-SA"/>
        </w:rPr>
        <w:t>标项一：合同签订之日起2年；标项二：合同签订之日至2022年12月10日前提交《杭州市温室气体监测数据分析及同化反演结果报告》，模型维护期为验收合格后2年。</w:t>
      </w:r>
    </w:p>
    <w:p>
      <w:pPr>
        <w:pStyle w:val="18"/>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本项目接受联合体投标：</w:t>
      </w:r>
      <w:sdt>
        <w:sdtPr>
          <w:rPr>
            <w:rFonts w:hint="eastAsia" w:ascii="仿宋" w:hAnsi="仿宋" w:eastAsia="仿宋" w:cs="Arial"/>
            <w:color w:val="auto"/>
            <w:kern w:val="0"/>
            <w:sz w:val="24"/>
            <w:highlight w:val="none"/>
          </w:rPr>
          <w:id w:val="2035453831"/>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r>
        <w:rPr>
          <w:rFonts w:hint="eastAsia" w:ascii="仿宋" w:hAnsi="仿宋" w:eastAsia="仿宋"/>
          <w:b/>
          <w:color w:val="auto"/>
          <w:sz w:val="24"/>
          <w:highlight w:val="none"/>
        </w:rPr>
        <w:t>是，</w:t>
      </w:r>
      <w:sdt>
        <w:sdtPr>
          <w:rPr>
            <w:rFonts w:hint="eastAsia" w:ascii="仿宋" w:hAnsi="仿宋" w:eastAsia="仿宋" w:cs="Arial"/>
            <w:color w:val="auto"/>
            <w:kern w:val="0"/>
            <w:sz w:val="24"/>
            <w:highlight w:val="none"/>
          </w:rPr>
          <w:id w:val="-1765526721"/>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b/>
          <w:color w:val="auto"/>
          <w:sz w:val="24"/>
          <w:highlight w:val="none"/>
        </w:rPr>
        <w:t>否</w:t>
      </w:r>
      <w:r>
        <w:rPr>
          <w:rFonts w:hint="eastAsia" w:ascii="仿宋" w:hAnsi="仿宋" w:eastAsia="仿宋" w:cs="Arial"/>
          <w:color w:val="auto"/>
          <w:kern w:val="0"/>
          <w:sz w:val="24"/>
          <w:highlight w:val="none"/>
        </w:rPr>
        <w:t>。</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仿宋" w:hAnsi="仿宋" w:eastAsia="仿宋" w:cs="仿宋_GB2312"/>
          <w:snapToGrid w:val="0"/>
          <w:color w:val="auto"/>
          <w:kern w:val="28"/>
          <w:sz w:val="24"/>
          <w:szCs w:val="20"/>
          <w:highlight w:val="none"/>
          <w:lang w:eastAsia="zh-CN"/>
        </w:rPr>
      </w:pPr>
      <w:r>
        <w:rPr>
          <w:rFonts w:ascii="仿宋" w:hAnsi="仿宋" w:eastAsia="仿宋" w:cs="仿宋_GB2312"/>
          <w:snapToGrid w:val="0"/>
          <w:color w:val="auto"/>
          <w:kern w:val="28"/>
          <w:sz w:val="24"/>
          <w:szCs w:val="20"/>
          <w:highlight w:val="none"/>
        </w:rPr>
        <w:t>2.</w:t>
      </w:r>
      <w:r>
        <w:rPr>
          <w:rFonts w:hint="eastAsia" w:ascii="仿宋" w:hAnsi="仿宋" w:eastAsia="仿宋" w:cs="仿宋_GB2312"/>
          <w:snapToGrid w:val="0"/>
          <w:color w:val="auto"/>
          <w:kern w:val="28"/>
          <w:sz w:val="24"/>
          <w:szCs w:val="20"/>
          <w:highlight w:val="none"/>
        </w:rPr>
        <w:t>落实政府采购政策需满足的资格要求：</w:t>
      </w:r>
    </w:p>
    <w:p>
      <w:pPr>
        <w:pStyle w:val="26"/>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default"/>
          <w:color w:val="auto"/>
          <w:highlight w:val="none"/>
          <w:lang w:val="en-US" w:eastAsia="zh-CN"/>
        </w:rPr>
      </w:pPr>
      <w:r>
        <w:rPr>
          <w:rFonts w:hint="eastAsia" w:ascii="仿宋" w:hAnsi="仿宋" w:eastAsia="仿宋" w:cs="仿宋_GB2312"/>
          <w:snapToGrid w:val="0"/>
          <w:color w:val="auto"/>
          <w:kern w:val="28"/>
          <w:sz w:val="24"/>
          <w:szCs w:val="20"/>
          <w:highlight w:val="none"/>
          <w:lang w:val="en-US" w:eastAsia="zh-CN"/>
        </w:rPr>
        <w:t>标项一：无</w:t>
      </w:r>
    </w:p>
    <w:p>
      <w:pPr>
        <w:pStyle w:val="26"/>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ascii="仿宋" w:hAnsi="仿宋" w:eastAsia="仿宋" w:cs="仿宋_GB2312"/>
          <w:snapToGrid w:val="0"/>
          <w:color w:val="auto"/>
          <w:kern w:val="28"/>
          <w:sz w:val="24"/>
          <w:szCs w:val="20"/>
          <w:highlight w:val="none"/>
          <w:lang w:val="en-US" w:eastAsia="zh-CN"/>
        </w:rPr>
      </w:pPr>
      <w:r>
        <w:rPr>
          <w:rFonts w:hint="eastAsia" w:ascii="仿宋" w:hAnsi="仿宋" w:eastAsia="仿宋" w:cs="仿宋_GB2312"/>
          <w:snapToGrid w:val="0"/>
          <w:color w:val="auto"/>
          <w:kern w:val="28"/>
          <w:sz w:val="24"/>
          <w:szCs w:val="20"/>
          <w:highlight w:val="none"/>
          <w:lang w:val="en-US" w:eastAsia="zh-CN"/>
        </w:rPr>
        <w:t>标项二：</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024704304"/>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sym w:font="Wingdings" w:char="F0FE"/>
          </w:r>
        </w:sdtContent>
      </w:sdt>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hint="default"/>
          <w:color w:val="auto"/>
          <w:highlight w:val="none"/>
          <w:lang w:val="en-US" w:eastAsia="zh-CN"/>
        </w:rPr>
      </w:pPr>
      <w:sdt>
        <w:sdtPr>
          <w:rPr>
            <w:rFonts w:hint="eastAsia" w:ascii="仿宋_GB2312" w:hAnsi="仿宋" w:eastAsia="仿宋_GB2312" w:cs="Arial"/>
            <w:color w:val="auto"/>
            <w:kern w:val="0"/>
            <w:sz w:val="24"/>
            <w:highlight w:val="none"/>
          </w:rPr>
          <w:id w:val="-2141025358"/>
        </w:sdtPr>
        <w:sdtEndPr>
          <w:rPr>
            <w:rFonts w:hint="eastAsia" w:ascii="仿宋_GB2312" w:hAnsi="仿宋" w:eastAsia="仿宋_GB2312" w:cs="Arial"/>
            <w:color w:val="auto"/>
            <w:kern w:val="0"/>
            <w:sz w:val="24"/>
            <w:highlight w:val="none"/>
          </w:rPr>
        </w:sdtEndPr>
        <w:sdtContent>
          <w:sdt>
            <w:sdtPr>
              <w:rPr>
                <w:rFonts w:hint="eastAsia" w:ascii="仿宋_GB2312" w:hAnsi="仿宋" w:eastAsia="仿宋_GB2312" w:cs="Arial"/>
                <w:color w:val="auto"/>
                <w:kern w:val="0"/>
                <w:sz w:val="24"/>
                <w:highlight w:val="none"/>
              </w:rPr>
              <w:id w:val="-924730588"/>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sym w:font="Wingdings" w:char="00FE"/>
              </w:r>
            </w:sdtContent>
          </w:sdt>
        </w:sdtContent>
      </w:sdt>
      <w:r>
        <w:rPr>
          <w:rFonts w:hint="eastAsia" w:ascii="仿宋_GB2312" w:hAnsi="仿宋" w:eastAsia="仿宋_GB2312"/>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3.本项目的特定资格要求：</w:t>
      </w:r>
      <w:r>
        <w:rPr>
          <w:rFonts w:hint="eastAsia" w:ascii="仿宋" w:hAnsi="仿宋" w:eastAsia="仿宋"/>
          <w:color w:val="auto"/>
          <w:sz w:val="24"/>
          <w:highlight w:val="none"/>
        </w:rPr>
        <w:t>无；</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4.</w:t>
      </w:r>
      <w:r>
        <w:rPr>
          <w:rFonts w:hint="eastAsia" w:ascii="仿宋" w:hAnsi="仿宋" w:eastAsia="仿宋"/>
          <w:color w:val="auto"/>
          <w:sz w:val="24"/>
          <w:highlight w:val="none"/>
        </w:rPr>
        <w:t>单位负责人为同一人或者存在直接控股、管理关系的不同供应商，不得参加同一合同项下的政府采购活动；</w:t>
      </w:r>
      <w:r>
        <w:rPr>
          <w:rFonts w:ascii="仿宋" w:hAnsi="仿宋" w:eastAsia="仿宋" w:cs="仿宋_GB2312"/>
          <w:color w:val="auto"/>
          <w:sz w:val="24"/>
          <w:highlight w:val="none"/>
        </w:rPr>
        <w:t>为采购项目提供整体设计、规范编制或者项目管理、监理、检测等服务后</w:t>
      </w:r>
      <w:r>
        <w:rPr>
          <w:rFonts w:hint="eastAsia" w:ascii="仿宋" w:hAnsi="仿宋" w:eastAsia="仿宋" w:cs="仿宋_GB2312"/>
          <w:color w:val="auto"/>
          <w:sz w:val="24"/>
          <w:highlight w:val="none"/>
        </w:rPr>
        <w:t>不得</w:t>
      </w:r>
      <w:r>
        <w:rPr>
          <w:rFonts w:ascii="仿宋" w:hAnsi="仿宋" w:eastAsia="仿宋" w:cs="仿宋_GB2312"/>
          <w:color w:val="auto"/>
          <w:sz w:val="24"/>
          <w:highlight w:val="none"/>
        </w:rPr>
        <w:t>再参加该采购项目的其他采购活动。</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三、获取招标文件</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时间：</w:t>
      </w:r>
      <w:r>
        <w:rPr>
          <w:rFonts w:ascii="仿宋" w:hAnsi="仿宋" w:eastAsia="仿宋"/>
          <w:color w:val="auto"/>
          <w:sz w:val="24"/>
          <w:highlight w:val="none"/>
        </w:rPr>
        <w:t>/至</w:t>
      </w:r>
      <w:r>
        <w:rPr>
          <w:rStyle w:val="78"/>
          <w:rFonts w:hint="eastAsia" w:ascii="仿宋" w:hAnsi="仿宋" w:eastAsia="仿宋" w:cs="Times New Roman"/>
          <w:snapToGrid/>
          <w:color w:val="auto"/>
          <w:kern w:val="2"/>
          <w:sz w:val="24"/>
          <w:szCs w:val="24"/>
          <w:highlight w:val="none"/>
          <w:u w:val="single"/>
        </w:rPr>
        <w:t>2022年</w:t>
      </w:r>
      <w:r>
        <w:rPr>
          <w:rStyle w:val="78"/>
          <w:rFonts w:hint="eastAsia" w:ascii="仿宋" w:hAnsi="仿宋" w:eastAsia="仿宋" w:cs="Times New Roman"/>
          <w:snapToGrid/>
          <w:color w:val="auto"/>
          <w:kern w:val="2"/>
          <w:sz w:val="24"/>
          <w:szCs w:val="24"/>
          <w:highlight w:val="none"/>
          <w:u w:val="single"/>
          <w:lang w:val="en-US" w:eastAsia="zh-CN"/>
        </w:rPr>
        <w:t>10</w:t>
      </w:r>
      <w:r>
        <w:rPr>
          <w:rStyle w:val="78"/>
          <w:rFonts w:hint="eastAsia" w:ascii="仿宋" w:hAnsi="仿宋" w:eastAsia="仿宋" w:cs="Times New Roman"/>
          <w:snapToGrid/>
          <w:color w:val="auto"/>
          <w:kern w:val="2"/>
          <w:sz w:val="24"/>
          <w:szCs w:val="24"/>
          <w:highlight w:val="none"/>
          <w:u w:val="single"/>
        </w:rPr>
        <w:t>月</w:t>
      </w:r>
      <w:r>
        <w:rPr>
          <w:rStyle w:val="78"/>
          <w:rFonts w:hint="eastAsia" w:ascii="仿宋" w:hAnsi="仿宋" w:eastAsia="仿宋" w:cs="Times New Roman"/>
          <w:snapToGrid/>
          <w:color w:val="auto"/>
          <w:kern w:val="2"/>
          <w:sz w:val="24"/>
          <w:szCs w:val="24"/>
          <w:highlight w:val="none"/>
          <w:u w:val="single"/>
          <w:lang w:val="en-US" w:eastAsia="zh-CN"/>
        </w:rPr>
        <w:t>21</w:t>
      </w:r>
      <w:r>
        <w:rPr>
          <w:rStyle w:val="78"/>
          <w:rFonts w:hint="eastAsia" w:ascii="仿宋" w:hAnsi="仿宋" w:eastAsia="仿宋" w:cs="Times New Roman"/>
          <w:snapToGrid/>
          <w:color w:val="auto"/>
          <w:kern w:val="2"/>
          <w:sz w:val="24"/>
          <w:szCs w:val="24"/>
          <w:highlight w:val="none"/>
          <w:u w:val="single"/>
        </w:rPr>
        <w:t>日</w:t>
      </w:r>
      <w:r>
        <w:rPr>
          <w:rFonts w:hint="eastAsia" w:ascii="仿宋" w:hAnsi="仿宋" w:eastAsia="仿宋"/>
          <w:color w:val="auto"/>
          <w:sz w:val="24"/>
          <w:highlight w:val="none"/>
        </w:rPr>
        <w:t>，每天上午</w:t>
      </w:r>
      <w:r>
        <w:rPr>
          <w:rFonts w:ascii="仿宋" w:hAnsi="仿宋" w:eastAsia="仿宋"/>
          <w:color w:val="auto"/>
          <w:sz w:val="24"/>
          <w:highlight w:val="none"/>
        </w:rPr>
        <w:t xml:space="preserve">00:00至12:00 </w:t>
      </w:r>
      <w:r>
        <w:rPr>
          <w:rFonts w:hint="eastAsia" w:ascii="仿宋" w:hAnsi="仿宋" w:eastAsia="仿宋"/>
          <w:color w:val="auto"/>
          <w:sz w:val="24"/>
          <w:highlight w:val="none"/>
        </w:rPr>
        <w:t>，下午</w:t>
      </w:r>
      <w:r>
        <w:rPr>
          <w:rFonts w:ascii="仿宋" w:hAnsi="仿宋" w:eastAsia="仿宋"/>
          <w:color w:val="auto"/>
          <w:sz w:val="24"/>
          <w:highlight w:val="none"/>
        </w:rPr>
        <w:t>12:00至23:59（北京时间，线上获取法定节假日均可，线下获取文件法定节假日除外）</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方式：</w:t>
      </w:r>
      <w:r>
        <w:rPr>
          <w:rFonts w:hint="eastAsia" w:ascii="仿宋" w:hAnsi="仿宋" w:eastAsia="仿宋"/>
          <w:color w:val="auto"/>
          <w:sz w:val="24"/>
          <w:highlight w:val="none"/>
        </w:rPr>
        <w:t>供应商登录政采云平台</w:t>
      </w:r>
      <w:r>
        <w:rPr>
          <w:rFonts w:ascii="仿宋" w:hAnsi="仿宋" w:eastAsia="仿宋"/>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售价（元）：</w:t>
      </w:r>
      <w:r>
        <w:rPr>
          <w:rFonts w:ascii="仿宋" w:hAnsi="仿宋" w:eastAsia="仿宋"/>
          <w:color w:val="auto"/>
          <w:sz w:val="24"/>
          <w:highlight w:val="none"/>
        </w:rPr>
        <w:t xml:space="preserve">0 </w:t>
      </w:r>
      <w:r>
        <w:rPr>
          <w:rFonts w:ascii="仿宋" w:hAnsi="仿宋" w:eastAsia="仿宋"/>
          <w:color w:val="auto"/>
          <w:sz w:val="24"/>
          <w:highlight w:val="none"/>
        </w:rPr>
        <w:tab/>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四、提交投标文件截止时间、开标时间和地点</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提交投标文件截止时间：</w:t>
      </w:r>
      <w:r>
        <w:rPr>
          <w:rFonts w:hint="eastAsia" w:ascii="仿宋" w:hAnsi="仿宋" w:eastAsia="仿宋"/>
          <w:color w:val="auto"/>
          <w:sz w:val="24"/>
          <w:highlight w:val="none"/>
          <w:u w:val="single"/>
        </w:rPr>
        <w:t>202</w:t>
      </w:r>
      <w:r>
        <w:rPr>
          <w:rFonts w:ascii="仿宋" w:hAnsi="仿宋" w:eastAsia="仿宋"/>
          <w:color w:val="auto"/>
          <w:sz w:val="24"/>
          <w:highlight w:val="none"/>
          <w:u w:val="single"/>
        </w:rPr>
        <w:t>2年</w:t>
      </w:r>
      <w:r>
        <w:rPr>
          <w:rFonts w:hint="eastAsia" w:ascii="仿宋" w:hAnsi="仿宋" w:eastAsia="仿宋"/>
          <w:color w:val="auto"/>
          <w:sz w:val="24"/>
          <w:highlight w:val="none"/>
          <w:u w:val="single"/>
          <w:lang w:val="en-US" w:eastAsia="zh-CN"/>
        </w:rPr>
        <w:t>10</w:t>
      </w:r>
      <w:r>
        <w:rPr>
          <w:rFonts w:hint="eastAsia"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21</w:t>
      </w:r>
      <w:r>
        <w:rPr>
          <w:rFonts w:hint="eastAsia" w:ascii="仿宋" w:hAnsi="仿宋" w:eastAsia="仿宋"/>
          <w:color w:val="auto"/>
          <w:sz w:val="24"/>
          <w:highlight w:val="none"/>
          <w:u w:val="single"/>
        </w:rPr>
        <w:t>日</w:t>
      </w:r>
      <w:r>
        <w:rPr>
          <w:rFonts w:hint="eastAsia" w:ascii="仿宋" w:hAnsi="仿宋" w:eastAsia="仿宋"/>
          <w:color w:val="auto"/>
          <w:sz w:val="24"/>
          <w:highlight w:val="none"/>
          <w:u w:val="single"/>
          <w:lang w:val="en-US" w:eastAsia="zh-CN"/>
        </w:rPr>
        <w:t>09</w:t>
      </w:r>
      <w:r>
        <w:rPr>
          <w:rFonts w:hint="eastAsia" w:ascii="仿宋" w:hAnsi="仿宋" w:eastAsia="仿宋"/>
          <w:color w:val="auto"/>
          <w:sz w:val="24"/>
          <w:highlight w:val="none"/>
          <w:u w:val="single"/>
        </w:rPr>
        <w:t>点30分</w:t>
      </w:r>
      <w:r>
        <w:rPr>
          <w:rFonts w:hint="eastAsia" w:ascii="仿宋" w:hAnsi="仿宋" w:eastAsia="仿宋"/>
          <w:color w:val="auto"/>
          <w:sz w:val="24"/>
          <w:highlight w:val="none"/>
        </w:rPr>
        <w:t>（北京时间）</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pacing w:line="360" w:lineRule="auto"/>
        <w:ind w:firstLine="482" w:firstLineChars="200"/>
        <w:rPr>
          <w:rFonts w:ascii="仿宋" w:hAnsi="仿宋" w:eastAsia="仿宋"/>
          <w:bCs/>
          <w:color w:val="auto"/>
          <w:sz w:val="24"/>
          <w:highlight w:val="none"/>
          <w:u w:val="single"/>
        </w:rPr>
      </w:pPr>
      <w:r>
        <w:rPr>
          <w:rFonts w:hint="eastAsia" w:ascii="仿宋" w:hAnsi="仿宋" w:eastAsia="仿宋"/>
          <w:b/>
          <w:color w:val="auto"/>
          <w:sz w:val="24"/>
          <w:highlight w:val="none"/>
        </w:rPr>
        <w:t>开标时间：</w:t>
      </w:r>
      <w:r>
        <w:rPr>
          <w:rFonts w:hint="eastAsia" w:ascii="仿宋" w:hAnsi="仿宋" w:eastAsia="仿宋"/>
          <w:color w:val="auto"/>
          <w:sz w:val="24"/>
          <w:highlight w:val="none"/>
          <w:u w:val="single"/>
        </w:rPr>
        <w:t>202</w:t>
      </w:r>
      <w:r>
        <w:rPr>
          <w:rFonts w:ascii="仿宋" w:hAnsi="仿宋" w:eastAsia="仿宋"/>
          <w:color w:val="auto"/>
          <w:sz w:val="24"/>
          <w:highlight w:val="none"/>
          <w:u w:val="single"/>
        </w:rPr>
        <w:t>2年</w:t>
      </w:r>
      <w:r>
        <w:rPr>
          <w:rFonts w:hint="eastAsia" w:ascii="仿宋" w:hAnsi="仿宋" w:eastAsia="仿宋"/>
          <w:color w:val="auto"/>
          <w:sz w:val="24"/>
          <w:highlight w:val="none"/>
          <w:u w:val="single"/>
          <w:lang w:val="en-US" w:eastAsia="zh-CN"/>
        </w:rPr>
        <w:t>10</w:t>
      </w:r>
      <w:r>
        <w:rPr>
          <w:rFonts w:hint="eastAsia"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21</w:t>
      </w:r>
      <w:r>
        <w:rPr>
          <w:rFonts w:hint="eastAsia" w:ascii="仿宋" w:hAnsi="仿宋" w:eastAsia="仿宋"/>
          <w:color w:val="auto"/>
          <w:sz w:val="24"/>
          <w:highlight w:val="none"/>
          <w:u w:val="single"/>
        </w:rPr>
        <w:t>日</w:t>
      </w:r>
      <w:r>
        <w:rPr>
          <w:rFonts w:hint="eastAsia" w:ascii="仿宋" w:hAnsi="仿宋" w:eastAsia="仿宋"/>
          <w:color w:val="auto"/>
          <w:sz w:val="24"/>
          <w:highlight w:val="none"/>
          <w:u w:val="single"/>
          <w:lang w:val="en-US" w:eastAsia="zh-CN"/>
        </w:rPr>
        <w:t>09</w:t>
      </w:r>
      <w:r>
        <w:rPr>
          <w:rFonts w:hint="eastAsia" w:ascii="仿宋" w:hAnsi="仿宋" w:eastAsia="仿宋"/>
          <w:color w:val="auto"/>
          <w:sz w:val="24"/>
          <w:highlight w:val="none"/>
          <w:u w:val="single"/>
        </w:rPr>
        <w:t>点30分</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开标地点（网址）：</w:t>
      </w:r>
      <w:r>
        <w:rPr>
          <w:rFonts w:ascii="仿宋" w:hAnsi="仿宋" w:eastAsia="仿宋"/>
          <w:color w:val="auto"/>
          <w:sz w:val="24"/>
          <w:highlight w:val="none"/>
        </w:rPr>
        <w:t>政</w:t>
      </w:r>
      <w:r>
        <w:rPr>
          <w:rFonts w:hint="eastAsia" w:ascii="仿宋" w:hAnsi="仿宋" w:eastAsia="仿宋"/>
          <w:color w:val="auto"/>
          <w:sz w:val="24"/>
          <w:highlight w:val="none"/>
        </w:rPr>
        <w:t>采云平台（</w:t>
      </w:r>
      <w:r>
        <w:rPr>
          <w:rFonts w:ascii="仿宋" w:hAnsi="仿宋" w:eastAsia="仿宋"/>
          <w:color w:val="auto"/>
          <w:sz w:val="24"/>
          <w:highlight w:val="none"/>
        </w:rPr>
        <w:t>https://www.zcygov.cn/）</w:t>
      </w:r>
    </w:p>
    <w:p>
      <w:pPr>
        <w:spacing w:line="360" w:lineRule="auto"/>
        <w:rPr>
          <w:rFonts w:ascii="仿宋" w:hAnsi="仿宋" w:eastAsia="仿宋"/>
          <w:color w:val="auto"/>
          <w:sz w:val="24"/>
          <w:highlight w:val="none"/>
        </w:rPr>
      </w:pPr>
      <w:r>
        <w:rPr>
          <w:rFonts w:hint="eastAsia" w:ascii="仿宋" w:hAnsi="仿宋" w:eastAsia="仿宋"/>
          <w:b/>
          <w:color w:val="auto"/>
          <w:sz w:val="24"/>
          <w:highlight w:val="none"/>
        </w:rPr>
        <w:t>五、公告期限</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自本公告发布之日起</w:t>
      </w:r>
      <w:r>
        <w:rPr>
          <w:rFonts w:ascii="仿宋" w:hAnsi="仿宋" w:eastAsia="仿宋"/>
          <w:color w:val="auto"/>
          <w:sz w:val="24"/>
          <w:highlight w:val="none"/>
        </w:rPr>
        <w:t>5个工作日。</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六、其他补充事宜</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.其他事项：（1）需要落实的政府采购政策：包括节约资源、保护环境、支持创新、促进中小企业发展等。详见招标文件的第二部分总则。（2）</w:t>
      </w:r>
      <w:r>
        <w:rPr>
          <w:rFonts w:ascii="仿宋" w:hAnsi="仿宋" w:eastAsia="仿宋"/>
          <w:color w:val="auto"/>
          <w:sz w:val="24"/>
          <w:highlight w:val="none"/>
        </w:rPr>
        <w:t>电子招投标的说明：</w:t>
      </w:r>
      <w:r>
        <w:rPr>
          <w:rFonts w:hint="eastAsia" w:ascii="仿宋" w:hAnsi="仿宋" w:eastAsia="仿宋" w:cs="仿宋_GB2312"/>
          <w:color w:val="auto"/>
          <w:sz w:val="24"/>
          <w:highlight w:val="none"/>
        </w:rPr>
        <w:t>①</w:t>
      </w:r>
      <w:r>
        <w:rPr>
          <w:rFonts w:ascii="仿宋" w:hAnsi="仿宋" w:eastAsia="仿宋" w:cs="仿宋_GB2312"/>
          <w:color w:val="auto"/>
          <w:sz w:val="24"/>
          <w:highlight w:val="none"/>
        </w:rPr>
        <w:t>电子招投标：本项目以数据电文形式，依托“政府采购云平台（www.zcygov.cn）”进行招投标活动，不接受纸质投标文件</w:t>
      </w:r>
      <w:r>
        <w:rPr>
          <w:rFonts w:hint="eastAsia" w:ascii="仿宋" w:hAnsi="仿宋" w:eastAsia="仿宋" w:cs="仿宋_GB2312"/>
          <w:color w:val="auto"/>
          <w:sz w:val="24"/>
          <w:highlight w:val="none"/>
        </w:rPr>
        <w:t>；②</w:t>
      </w:r>
      <w:r>
        <w:rPr>
          <w:rFonts w:ascii="仿宋" w:hAnsi="仿宋" w:eastAsia="仿宋"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 w:hAnsi="仿宋" w:eastAsia="仿宋" w:cs="仿宋_GB2312"/>
          <w:color w:val="auto"/>
          <w:sz w:val="24"/>
          <w:highlight w:val="none"/>
        </w:rPr>
        <w:t>采云电子交易客户端”</w:t>
      </w:r>
      <w:r>
        <w:rPr>
          <w:rFonts w:ascii="仿宋" w:hAnsi="仿宋" w:eastAsia="仿宋" w:cs="仿宋_GB2312"/>
          <w:color w:val="auto"/>
          <w:sz w:val="24"/>
          <w:highlight w:val="none"/>
        </w:rPr>
        <w:t>----前往“浙江政府采购网-下载专区-电子交易客户端”进行下载并安装</w:t>
      </w:r>
      <w:r>
        <w:rPr>
          <w:rFonts w:hint="eastAsia" w:ascii="仿宋" w:hAnsi="仿宋" w:eastAsia="仿宋" w:cs="仿宋_GB2312"/>
          <w:color w:val="auto"/>
          <w:sz w:val="24"/>
          <w:highlight w:val="none"/>
        </w:rPr>
        <w:t>；③</w:t>
      </w:r>
      <w:r>
        <w:rPr>
          <w:rFonts w:ascii="仿宋" w:hAnsi="仿宋" w:eastAsia="仿宋" w:cs="仿宋_GB2312"/>
          <w:color w:val="auto"/>
          <w:sz w:val="24"/>
          <w:highlight w:val="none"/>
        </w:rPr>
        <w:t>招标文件的获取：使用账号登录或者使用CA登录政</w:t>
      </w:r>
      <w:r>
        <w:rPr>
          <w:rFonts w:hint="eastAsia" w:ascii="仿宋" w:hAnsi="仿宋" w:eastAsia="仿宋" w:cs="仿宋_GB2312"/>
          <w:color w:val="auto"/>
          <w:sz w:val="24"/>
          <w:highlight w:val="none"/>
        </w:rPr>
        <w:t>采云平台；进入“项目采购”应用，在获取采购文件菜单中选择项目，获取招标文件；④</w:t>
      </w:r>
      <w:r>
        <w:rPr>
          <w:rFonts w:ascii="仿宋" w:hAnsi="仿宋" w:eastAsia="仿宋" w:cs="仿宋_GB2312"/>
          <w:color w:val="auto"/>
          <w:sz w:val="24"/>
          <w:highlight w:val="none"/>
        </w:rPr>
        <w:t>投标文件的制作：在“政</w:t>
      </w:r>
      <w:r>
        <w:rPr>
          <w:rFonts w:hint="eastAsia" w:ascii="仿宋" w:hAnsi="仿宋" w:eastAsia="仿宋" w:cs="仿宋_GB2312"/>
          <w:color w:val="auto"/>
          <w:sz w:val="24"/>
          <w:highlight w:val="none"/>
        </w:rPr>
        <w:t>采云电子交易客户端”中完成“填写基本信息”、“导入投标文件”、“标书关联”、“标书检查”、“电子签名”、“生成电子标书”等操作；</w:t>
      </w:r>
      <w:r>
        <w:rPr>
          <w:rFonts w:hint="eastAsia" w:ascii="仿宋" w:hAnsi="仿宋" w:eastAsia="仿宋"/>
          <w:color w:val="auto"/>
          <w:sz w:val="24"/>
          <w:highlight w:val="none"/>
        </w:rPr>
        <w:t>⑤</w:t>
      </w:r>
      <w:r>
        <w:rPr>
          <w:rFonts w:ascii="仿宋" w:hAnsi="仿宋" w:eastAsia="仿宋"/>
          <w:color w:val="auto"/>
          <w:sz w:val="24"/>
          <w:highlight w:val="none"/>
        </w:rPr>
        <w:t>采购人、采购机构将依托政</w:t>
      </w:r>
      <w:r>
        <w:rPr>
          <w:rFonts w:hint="eastAsia" w:ascii="仿宋" w:hAnsi="仿宋" w:eastAsia="仿宋"/>
          <w:color w:val="auto"/>
          <w:sz w:val="24"/>
          <w:highlight w:val="none"/>
        </w:rPr>
        <w:t>采云平台完成本项目的电子交易活动，平台不接受未按上述方式获取招标文件的供应商进行投标活动；⑥</w:t>
      </w:r>
      <w:r>
        <w:rPr>
          <w:rFonts w:ascii="仿宋" w:hAnsi="仿宋" w:eastAsia="仿宋"/>
          <w:color w:val="auto"/>
          <w:sz w:val="24"/>
          <w:highlight w:val="none"/>
        </w:rPr>
        <w:t>对未按上述方式获取招标文件的供应商对该文件提出的质疑，采购人或采购代理机构将</w:t>
      </w:r>
      <w:r>
        <w:rPr>
          <w:rFonts w:hint="eastAsia" w:ascii="仿宋" w:hAnsi="仿宋" w:eastAsia="仿宋"/>
          <w:color w:val="auto"/>
          <w:sz w:val="24"/>
          <w:highlight w:val="none"/>
        </w:rPr>
        <w:t>不予处理；⑦</w:t>
      </w:r>
      <w:r>
        <w:rPr>
          <w:rFonts w:ascii="仿宋" w:hAnsi="仿宋" w:eastAsia="仿宋"/>
          <w:color w:val="auto"/>
          <w:sz w:val="24"/>
          <w:highlight w:val="none"/>
        </w:rPr>
        <w:t>不提供招标文件纸质版</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⑧</w:t>
      </w:r>
      <w:r>
        <w:rPr>
          <w:rFonts w:ascii="仿宋" w:hAnsi="仿宋" w:eastAsia="仿宋"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_GB2312"/>
          <w:color w:val="auto"/>
          <w:sz w:val="24"/>
          <w:highlight w:val="none"/>
        </w:rPr>
        <w:t>；</w:t>
      </w:r>
      <w:r>
        <w:rPr>
          <w:rFonts w:hint="eastAsia" w:ascii="仿宋" w:hAnsi="仿宋" w:eastAsia="仿宋"/>
          <w:color w:val="auto"/>
          <w:sz w:val="24"/>
          <w:highlight w:val="none"/>
        </w:rPr>
        <w:t>⑨</w:t>
      </w:r>
      <w:r>
        <w:rPr>
          <w:rFonts w:hint="eastAsia" w:ascii="仿宋" w:hAnsi="仿宋" w:eastAsia="仿宋"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 w:hAnsi="仿宋" w:eastAsia="仿宋" w:cs="仿宋_GB2312"/>
          <w:color w:val="auto"/>
          <w:sz w:val="24"/>
          <w:highlight w:val="none"/>
        </w:rPr>
        <w:t>具体操作指南：详见政</w:t>
      </w:r>
      <w:r>
        <w:rPr>
          <w:rFonts w:hint="eastAsia" w:ascii="仿宋" w:hAnsi="仿宋" w:eastAsia="仿宋" w:cs="仿宋_GB2312"/>
          <w:color w:val="auto"/>
          <w:sz w:val="24"/>
          <w:highlight w:val="none"/>
        </w:rPr>
        <w:t>采云平台“服务中心</w:t>
      </w:r>
      <w:r>
        <w:rPr>
          <w:rFonts w:ascii="仿宋" w:hAnsi="仿宋" w:eastAsia="仿宋" w:cs="仿宋_GB2312"/>
          <w:color w:val="auto"/>
          <w:sz w:val="24"/>
          <w:highlight w:val="none"/>
        </w:rPr>
        <w:t>-帮助文档-项目采购-操作流程-电子招投标-政府采购项目电子交易管理操作指南-供应商”。</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七、对本次采购提出询问、质疑、投诉，请按以下方式联系</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1.采购人信息</w:t>
      </w:r>
    </w:p>
    <w:p>
      <w:pPr>
        <w:spacing w:line="360" w:lineRule="auto"/>
        <w:rPr>
          <w:rFonts w:hint="eastAsia" w:ascii="仿宋" w:hAnsi="仿宋" w:eastAsia="仿宋"/>
          <w:color w:val="auto"/>
          <w:sz w:val="24"/>
          <w:highlight w:val="none"/>
          <w:lang w:eastAsia="zh-CN"/>
        </w:rPr>
      </w:pPr>
      <w:r>
        <w:rPr>
          <w:rFonts w:ascii="仿宋" w:hAnsi="仿宋" w:eastAsia="仿宋"/>
          <w:color w:val="auto"/>
          <w:sz w:val="24"/>
          <w:highlight w:val="none"/>
        </w:rPr>
        <w:t xml:space="preserve">    名    称：</w:t>
      </w:r>
      <w:r>
        <w:rPr>
          <w:rFonts w:hint="eastAsia" w:ascii="仿宋" w:hAnsi="仿宋" w:eastAsia="仿宋"/>
          <w:color w:val="auto"/>
          <w:sz w:val="24"/>
          <w:highlight w:val="none"/>
          <w:lang w:eastAsia="zh-CN"/>
        </w:rPr>
        <w:t>浙江省杭州生态环境监测中心</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地    址：</w:t>
      </w:r>
      <w:r>
        <w:rPr>
          <w:rFonts w:hint="eastAsia" w:ascii="仿宋" w:hAnsi="仿宋" w:eastAsia="仿宋"/>
          <w:color w:val="auto"/>
          <w:sz w:val="24"/>
          <w:highlight w:val="none"/>
        </w:rPr>
        <w:t>杭大路4号</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传</w:t>
      </w:r>
      <w:r>
        <w:rPr>
          <w:rFonts w:ascii="仿宋" w:hAnsi="仿宋" w:eastAsia="仿宋"/>
          <w:color w:val="auto"/>
          <w:sz w:val="24"/>
          <w:highlight w:val="none"/>
        </w:rPr>
        <w:t xml:space="preserve">    真： /</w:t>
      </w:r>
    </w:p>
    <w:p>
      <w:pPr>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rPr>
        <w:tab/>
      </w:r>
      <w:r>
        <w:rPr>
          <w:rFonts w:hint="eastAsia" w:ascii="仿宋" w:hAnsi="仿宋" w:eastAsia="仿宋" w:cs="仿宋"/>
          <w:color w:val="auto"/>
          <w:sz w:val="24"/>
          <w:highlight w:val="none"/>
          <w:lang w:val="en-US" w:eastAsia="zh-CN"/>
        </w:rPr>
        <w:t>沈工</w:t>
      </w:r>
    </w:p>
    <w:p>
      <w:pPr>
        <w:spacing w:line="360" w:lineRule="auto"/>
        <w:ind w:firstLine="468"/>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项目联系方式（询问）：</w:t>
      </w:r>
      <w:r>
        <w:rPr>
          <w:rFonts w:hint="eastAsia" w:ascii="仿宋" w:hAnsi="仿宋" w:eastAsia="仿宋" w:cs="仿宋"/>
          <w:color w:val="auto"/>
          <w:sz w:val="24"/>
          <w:highlight w:val="none"/>
          <w:lang w:val="en-US" w:eastAsia="zh-CN"/>
        </w:rPr>
        <w:t>0571-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87998269</w:t>
      </w:r>
    </w:p>
    <w:p>
      <w:pPr>
        <w:spacing w:line="360" w:lineRule="auto"/>
        <w:ind w:firstLine="468"/>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质疑联系人：楼工</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质疑联系方式：0571-87969505</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2.采购代理机构信息            </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名称：杭州意信招标代理有限公司</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 xml:space="preserve">地址：杭州市教工路1号，西湖数源软件园，17号楼5层509室 </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传    真：0571-87211507            </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项目联系人（询问）：</w:t>
      </w:r>
      <w:r>
        <w:rPr>
          <w:rFonts w:hint="eastAsia" w:ascii="仿宋" w:hAnsi="仿宋" w:eastAsia="仿宋"/>
          <w:color w:val="auto"/>
          <w:sz w:val="24"/>
          <w:highlight w:val="none"/>
        </w:rPr>
        <w:t>金婉娇、曹海英</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项目联系方式（询问）：</w:t>
      </w:r>
      <w:r>
        <w:rPr>
          <w:rFonts w:hint="eastAsia" w:ascii="仿宋" w:hAnsi="仿宋" w:eastAsia="仿宋"/>
          <w:color w:val="auto"/>
          <w:sz w:val="24"/>
          <w:highlight w:val="none"/>
        </w:rPr>
        <w:t xml:space="preserve">0571-87211505，88219719 </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质疑联系人：</w:t>
      </w:r>
      <w:r>
        <w:rPr>
          <w:rFonts w:hint="eastAsia" w:ascii="仿宋" w:hAnsi="仿宋" w:eastAsia="仿宋"/>
          <w:color w:val="auto"/>
          <w:sz w:val="24"/>
          <w:highlight w:val="none"/>
        </w:rPr>
        <w:t>曹红</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质疑联系方式：0571-87829182</w:t>
      </w:r>
    </w:p>
    <w:p>
      <w:pPr>
        <w:spacing w:line="360" w:lineRule="auto"/>
        <w:ind w:firstLine="468"/>
        <w:rPr>
          <w:rFonts w:ascii="仿宋" w:hAnsi="仿宋" w:eastAsia="仿宋"/>
          <w:color w:val="auto"/>
          <w:sz w:val="24"/>
          <w:highlight w:val="none"/>
        </w:rPr>
      </w:pPr>
      <w:r>
        <w:rPr>
          <w:rFonts w:ascii="仿宋" w:hAnsi="仿宋" w:eastAsia="仿宋"/>
          <w:color w:val="auto"/>
          <w:sz w:val="24"/>
          <w:highlight w:val="none"/>
        </w:rPr>
        <w:t>3.同级政府采购监督管理部门</w:t>
      </w:r>
    </w:p>
    <w:p>
      <w:pPr>
        <w:spacing w:line="360" w:lineRule="auto"/>
        <w:ind w:firstLine="468"/>
        <w:rPr>
          <w:rFonts w:ascii="仿宋" w:hAnsi="仿宋" w:eastAsia="仿宋"/>
          <w:color w:val="auto"/>
          <w:sz w:val="24"/>
          <w:highlight w:val="none"/>
        </w:rPr>
      </w:pPr>
      <w:r>
        <w:rPr>
          <w:rFonts w:ascii="仿宋" w:hAnsi="仿宋" w:eastAsia="仿宋"/>
          <w:color w:val="auto"/>
          <w:sz w:val="24"/>
          <w:highlight w:val="none"/>
        </w:rPr>
        <w:t>名    称：</w:t>
      </w:r>
      <w:r>
        <w:rPr>
          <w:rFonts w:hint="eastAsia" w:ascii="仿宋" w:hAnsi="仿宋" w:eastAsia="仿宋"/>
          <w:color w:val="auto"/>
          <w:sz w:val="24"/>
          <w:highlight w:val="none"/>
        </w:rPr>
        <w:t>杭州市财政局</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地    址：</w:t>
      </w:r>
      <w:r>
        <w:rPr>
          <w:rFonts w:hint="eastAsia" w:ascii="仿宋" w:hAnsi="仿宋" w:eastAsia="仿宋"/>
          <w:color w:val="auto"/>
          <w:sz w:val="24"/>
          <w:highlight w:val="none"/>
        </w:rPr>
        <w:t>杭州市中河中路152号杭州市财税大楼</w:t>
      </w:r>
    </w:p>
    <w:p>
      <w:pPr>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 xml:space="preserve">  传    真：0571-89580456</w:t>
      </w:r>
    </w:p>
    <w:p>
      <w:pPr>
        <w:spacing w:line="360" w:lineRule="auto"/>
        <w:ind w:firstLine="468"/>
        <w:rPr>
          <w:rFonts w:ascii="仿宋" w:hAnsi="仿宋" w:eastAsia="仿宋"/>
          <w:color w:val="auto"/>
          <w:sz w:val="24"/>
          <w:highlight w:val="none"/>
        </w:rPr>
      </w:pPr>
      <w:r>
        <w:rPr>
          <w:rFonts w:ascii="仿宋" w:hAnsi="仿宋" w:eastAsia="仿宋"/>
          <w:color w:val="auto"/>
          <w:sz w:val="24"/>
          <w:highlight w:val="none"/>
        </w:rPr>
        <w:t>联系人 ：</w:t>
      </w:r>
      <w:r>
        <w:rPr>
          <w:rFonts w:hint="eastAsia" w:ascii="仿宋" w:hAnsi="仿宋" w:eastAsia="仿宋"/>
          <w:color w:val="auto"/>
          <w:sz w:val="24"/>
          <w:highlight w:val="none"/>
        </w:rPr>
        <w:t>厉先生</w:t>
      </w:r>
    </w:p>
    <w:p>
      <w:pPr>
        <w:spacing w:line="360" w:lineRule="auto"/>
        <w:ind w:firstLine="468"/>
        <w:rPr>
          <w:rFonts w:ascii="仿宋" w:hAnsi="仿宋" w:eastAsia="仿宋"/>
          <w:color w:val="auto"/>
          <w:sz w:val="24"/>
          <w:highlight w:val="none"/>
        </w:rPr>
      </w:pPr>
      <w:r>
        <w:rPr>
          <w:rFonts w:ascii="仿宋" w:hAnsi="仿宋" w:eastAsia="仿宋"/>
          <w:color w:val="auto"/>
          <w:sz w:val="24"/>
          <w:highlight w:val="none"/>
        </w:rPr>
        <w:t>监督投诉电话：0571-89580456</w:t>
      </w:r>
    </w:p>
    <w:p>
      <w:pPr>
        <w:spacing w:line="360" w:lineRule="auto"/>
        <w:rPr>
          <w:rFonts w:ascii="仿宋" w:hAnsi="仿宋" w:eastAsia="仿宋"/>
          <w:color w:val="auto"/>
          <w:sz w:val="24"/>
          <w:highlight w:val="none"/>
        </w:rPr>
      </w:pP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若对项目采购电子交易系统操作有疑问，可登录政采云（</w:t>
      </w:r>
      <w:r>
        <w:rPr>
          <w:rFonts w:ascii="仿宋" w:hAnsi="仿宋" w:eastAsia="仿宋"/>
          <w:color w:val="auto"/>
          <w:sz w:val="24"/>
          <w:highlight w:val="none"/>
        </w:rPr>
        <w:t>https://www.zcygov.cn/），点击右侧咨询小采，获取采小蜜智能服务管家帮助，或拨打政</w:t>
      </w:r>
      <w:r>
        <w:rPr>
          <w:rFonts w:hint="eastAsia" w:ascii="仿宋" w:hAnsi="仿宋" w:eastAsia="仿宋"/>
          <w:color w:val="auto"/>
          <w:sz w:val="24"/>
          <w:highlight w:val="none"/>
        </w:rPr>
        <w:t>采云服务热线</w:t>
      </w:r>
      <w:r>
        <w:rPr>
          <w:rFonts w:ascii="仿宋" w:hAnsi="仿宋" w:eastAsia="仿宋"/>
          <w:color w:val="auto"/>
          <w:sz w:val="24"/>
          <w:highlight w:val="none"/>
        </w:rPr>
        <w:t>400-881-7190获取热线服务帮助。</w:t>
      </w:r>
    </w:p>
    <w:p>
      <w:pPr>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CA问题联系电话（人工）：</w:t>
      </w:r>
      <w:r>
        <w:rPr>
          <w:rFonts w:hint="eastAsia" w:ascii="仿宋" w:hAnsi="仿宋" w:eastAsia="仿宋"/>
          <w:color w:val="auto"/>
          <w:sz w:val="24"/>
          <w:highlight w:val="none"/>
        </w:rPr>
        <w:t>汇信</w:t>
      </w:r>
      <w:r>
        <w:rPr>
          <w:rFonts w:ascii="仿宋" w:hAnsi="仿宋" w:eastAsia="仿宋"/>
          <w:color w:val="auto"/>
          <w:sz w:val="24"/>
          <w:highlight w:val="none"/>
        </w:rPr>
        <w:t>CA 400-888-4636；天谷CA 400-087-8198。</w:t>
      </w:r>
    </w:p>
    <w:p>
      <w:pPr>
        <w:adjustRightInd/>
        <w:spacing w:line="360" w:lineRule="auto"/>
        <w:contextualSpacing/>
        <w:jc w:val="center"/>
        <w:outlineLvl w:val="0"/>
        <w:rPr>
          <w:rFonts w:ascii="仿宋" w:hAnsi="仿宋" w:eastAsia="仿宋" w:cs="仿宋_GB2312"/>
          <w:b/>
          <w:color w:val="auto"/>
          <w:sz w:val="36"/>
          <w:szCs w:val="36"/>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36"/>
          <w:highlight w:val="none"/>
        </w:rPr>
        <w:t>第二部分</w:t>
      </w:r>
      <w:bookmarkEnd w:id="8"/>
      <w:r>
        <w:rPr>
          <w:rFonts w:ascii="仿宋" w:hAnsi="仿宋" w:eastAsia="仿宋" w:cs="仿宋_GB2312"/>
          <w:b/>
          <w:color w:val="auto"/>
          <w:sz w:val="36"/>
          <w:szCs w:val="36"/>
          <w:highlight w:val="none"/>
        </w:rPr>
        <w:t xml:space="preserve"> 投标人须知</w:t>
      </w:r>
      <w:bookmarkEnd w:id="9"/>
    </w:p>
    <w:p>
      <w:pPr>
        <w:spacing w:line="360" w:lineRule="auto"/>
        <w:contextualSpacing/>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前附表</w:t>
      </w:r>
    </w:p>
    <w:tbl>
      <w:tblPr>
        <w:tblStyle w:val="64"/>
        <w:tblW w:w="895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4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64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64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_GB2312"/>
                <w:b/>
                <w:color w:val="auto"/>
                <w:kern w:val="0"/>
                <w:sz w:val="24"/>
                <w:highlight w:val="none"/>
                <w:lang w:val="zh-CN"/>
              </w:rPr>
            </w:pPr>
            <w:r>
              <w:rPr>
                <w:rFonts w:hint="eastAsia" w:ascii="仿宋" w:hAnsi="仿宋" w:eastAsia="仿宋"/>
                <w:color w:val="auto"/>
                <w:kern w:val="0"/>
                <w:sz w:val="24"/>
                <w:highlight w:val="none"/>
                <w:lang w:val="zh-CN"/>
              </w:rPr>
              <w:t>有关本项目实施所需的所有费用（含税费）均计入报价。</w:t>
            </w:r>
            <w:r>
              <w:rPr>
                <w:rFonts w:hint="eastAsia" w:ascii="仿宋" w:hAnsi="仿宋" w:eastAsia="仿宋" w:cs="仿宋_GB2312"/>
                <w:color w:val="auto"/>
                <w:sz w:val="24"/>
                <w:highlight w:val="none"/>
              </w:rPr>
              <w:t>开标一览表（报价表）</w:t>
            </w:r>
            <w:r>
              <w:rPr>
                <w:rFonts w:hint="eastAsia" w:ascii="仿宋" w:hAnsi="仿宋" w:eastAsia="仿宋"/>
                <w:color w:val="auto"/>
                <w:sz w:val="24"/>
                <w:highlight w:val="none"/>
              </w:rPr>
              <w:t>是报价的唯一载体</w:t>
            </w:r>
            <w:r>
              <w:rPr>
                <w:rFonts w:hint="eastAsia" w:ascii="仿宋" w:hAnsi="仿宋" w:eastAsia="仿宋" w:cs="仿宋_GB2312"/>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_GB2312"/>
                <w:b/>
                <w:color w:val="auto"/>
                <w:kern w:val="0"/>
                <w:sz w:val="24"/>
                <w:highlight w:val="none"/>
                <w:lang w:val="zh-CN"/>
              </w:rPr>
              <w:t>提醒：验收时检测费用由采购人承担，不包含在投标总价中。</w:t>
            </w:r>
          </w:p>
          <w:p>
            <w:pPr>
              <w:snapToGrid w:val="0"/>
              <w:spacing w:line="360" w:lineRule="auto"/>
              <w:jc w:val="left"/>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投标报价出现下列情形的，投标无效：</w:t>
            </w:r>
          </w:p>
          <w:p>
            <w:pPr>
              <w:snapToGrid w:val="0"/>
              <w:spacing w:line="360" w:lineRule="auto"/>
              <w:ind w:firstLine="241" w:firstLineChars="100"/>
              <w:jc w:val="left"/>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 w:hAnsi="仿宋" w:eastAsia="仿宋"/>
                <w:color w:val="auto"/>
                <w:kern w:val="0"/>
                <w:sz w:val="24"/>
                <w:highlight w:val="none"/>
                <w:lang w:val="zh-CN"/>
              </w:rPr>
            </w:pPr>
            <w:r>
              <w:rPr>
                <w:rFonts w:hint="eastAsia" w:ascii="仿宋" w:hAnsi="仿宋" w:eastAsia="仿宋" w:cs="仿宋_GB2312"/>
                <w:b/>
                <w:color w:val="auto"/>
                <w:kern w:val="0"/>
                <w:sz w:val="24"/>
                <w:highlight w:val="none"/>
                <w:lang w:val="zh-CN"/>
              </w:rPr>
              <w:t>投标报价超过招标文件中规定的预算金额或者最高限价的</w:t>
            </w:r>
            <w:r>
              <w:rPr>
                <w:rFonts w:ascii="仿宋" w:hAnsi="仿宋" w:eastAsia="仿宋"/>
                <w:b/>
                <w:color w:val="auto"/>
                <w:kern w:val="0"/>
                <w:sz w:val="24"/>
                <w:highlight w:val="none"/>
                <w:lang w:val="zh-CN"/>
              </w:rPr>
              <w:t>;</w:t>
            </w:r>
          </w:p>
          <w:p>
            <w:pPr>
              <w:spacing w:line="360" w:lineRule="auto"/>
              <w:ind w:firstLine="241" w:firstLineChars="100"/>
              <w:rPr>
                <w:rFonts w:ascii="仿宋" w:hAnsi="仿宋" w:eastAsia="仿宋" w:cs="仿宋_GB2312"/>
                <w:b/>
                <w:color w:val="auto"/>
                <w:sz w:val="24"/>
                <w:highlight w:val="none"/>
              </w:rPr>
            </w:pPr>
            <w:r>
              <w:rPr>
                <w:rFonts w:hint="eastAsia" w:ascii="仿宋" w:hAnsi="仿宋" w:eastAsia="仿宋"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_GB2312"/>
                <w:b/>
                <w:color w:val="auto"/>
                <w:sz w:val="24"/>
                <w:szCs w:val="21"/>
                <w:highlight w:val="none"/>
              </w:rPr>
              <w:t>;</w:t>
            </w:r>
          </w:p>
          <w:p>
            <w:pPr>
              <w:spacing w:line="360" w:lineRule="auto"/>
              <w:ind w:firstLine="241" w:firstLineChars="100"/>
              <w:rPr>
                <w:rFonts w:ascii="仿宋" w:hAnsi="仿宋" w:eastAsia="仿宋"/>
                <w:color w:val="auto"/>
                <w:sz w:val="24"/>
                <w:highlight w:val="none"/>
              </w:rPr>
            </w:pPr>
            <w:r>
              <w:rPr>
                <w:rFonts w:hint="eastAsia" w:ascii="仿宋" w:hAnsi="仿宋" w:eastAsia="仿宋" w:cs="Arial"/>
                <w:b/>
                <w:color w:val="auto"/>
                <w:kern w:val="0"/>
                <w:sz w:val="24"/>
                <w:highlight w:val="none"/>
              </w:rPr>
              <w:t>投标人对根据修正原则修正后的报价不确认的</w:t>
            </w:r>
            <w:r>
              <w:rPr>
                <w:rFonts w:hint="eastAsia" w:ascii="仿宋" w:hAnsi="仿宋" w:eastAsia="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分包</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477286927"/>
              </w:sdtPr>
              <w:sdtEndPr>
                <w:rPr>
                  <w:rFonts w:hint="eastAsia" w:ascii="仿宋" w:hAnsi="仿宋" w:eastAsia="仿宋" w:cs="Arial"/>
                  <w:color w:val="auto"/>
                  <w:kern w:val="0"/>
                  <w:sz w:val="24"/>
                  <w:highlight w:val="none"/>
                </w:rPr>
              </w:sdtEndPr>
              <w:sdtContent>
                <w:sdt>
                  <w:sdtPr>
                    <w:rPr>
                      <w:rFonts w:hint="eastAsia" w:ascii="仿宋" w:hAnsi="仿宋" w:eastAsia="仿宋" w:cs="Arial"/>
                      <w:color w:val="auto"/>
                      <w:kern w:val="0"/>
                      <w:sz w:val="24"/>
                      <w:highlight w:val="none"/>
                    </w:rPr>
                    <w:id w:val="1209384117"/>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00FE"/>
                    </w:r>
                  </w:sdtContent>
                </w:sdt>
              </w:sdtContent>
            </w:sdt>
            <w:r>
              <w:rPr>
                <w:rFonts w:ascii="仿宋" w:hAnsi="仿宋" w:eastAsia="仿宋" w:cs="Arial"/>
                <w:color w:val="auto"/>
                <w:kern w:val="0"/>
                <w:sz w:val="24"/>
                <w:highlight w:val="none"/>
              </w:rPr>
              <w:t xml:space="preserve"> A</w:t>
            </w:r>
            <w:r>
              <w:rPr>
                <w:rFonts w:hint="eastAsia" w:ascii="仿宋" w:hAnsi="仿宋" w:eastAsia="仿宋"/>
                <w:color w:val="auto"/>
                <w:sz w:val="24"/>
                <w:highlight w:val="none"/>
              </w:rPr>
              <w:t>同意将非主体、非关键性的工作分包。</w:t>
            </w:r>
          </w:p>
          <w:p>
            <w:pPr>
              <w:spacing w:line="360" w:lineRule="auto"/>
              <w:rPr>
                <w:rFonts w:ascii="仿宋" w:hAnsi="仿宋" w:eastAsia="仿宋" w:cs="仿宋_GB2312"/>
                <w:color w:val="auto"/>
                <w:sz w:val="24"/>
                <w:highlight w:val="none"/>
              </w:rPr>
            </w:pPr>
            <w:sdt>
              <w:sdtPr>
                <w:rPr>
                  <w:rFonts w:hint="eastAsia" w:ascii="仿宋" w:hAnsi="仿宋" w:eastAsia="仿宋" w:cs="Arial"/>
                  <w:color w:val="auto"/>
                  <w:kern w:val="0"/>
                  <w:sz w:val="24"/>
                  <w:highlight w:val="none"/>
                </w:rPr>
                <w:id w:val="-1276331357"/>
              </w:sdtPr>
              <w:sdtEndPr>
                <w:rPr>
                  <w:rFonts w:hint="eastAsia" w:ascii="仿宋" w:hAnsi="仿宋" w:eastAsia="仿宋" w:cs="Arial"/>
                  <w:color w:val="auto"/>
                  <w:kern w:val="0"/>
                  <w:sz w:val="24"/>
                  <w:highlight w:val="none"/>
                </w:rPr>
              </w:sdtEndPr>
              <w:sdtContent>
                <w:sdt>
                  <w:sdtPr>
                    <w:rPr>
                      <w:rFonts w:hint="eastAsia" w:ascii="仿宋" w:hAnsi="仿宋" w:eastAsia="仿宋" w:cs="Arial"/>
                      <w:color w:val="auto"/>
                      <w:kern w:val="0"/>
                      <w:sz w:val="24"/>
                      <w:highlight w:val="none"/>
                    </w:rPr>
                    <w:id w:val="169864766"/>
                  </w:sdtPr>
                  <w:sdtEndPr>
                    <w:rPr>
                      <w:rFonts w:hint="eastAsia" w:ascii="仿宋" w:hAnsi="仿宋" w:eastAsia="仿宋" w:cs="Arial"/>
                      <w:color w:val="auto"/>
                      <w:kern w:val="0"/>
                      <w:sz w:val="24"/>
                      <w:highlight w:val="none"/>
                    </w:rPr>
                  </w:sdtEndPr>
                  <w:sdtContent>
                    <w:sdt>
                      <w:sdtPr>
                        <w:rPr>
                          <w:rFonts w:hint="eastAsia" w:ascii="仿宋" w:hAnsi="仿宋" w:eastAsia="仿宋" w:cs="Arial"/>
                          <w:color w:val="auto"/>
                          <w:kern w:val="0"/>
                          <w:sz w:val="24"/>
                          <w:highlight w:val="none"/>
                        </w:rPr>
                        <w:id w:val="1209384115"/>
                      </w:sdtPr>
                      <w:sdtEndPr>
                        <w:rPr>
                          <w:rFonts w:hint="eastAsia" w:ascii="仿宋" w:hAnsi="仿宋" w:eastAsia="仿宋" w:cs="Arial"/>
                          <w:color w:val="auto"/>
                          <w:kern w:val="0"/>
                          <w:sz w:val="24"/>
                          <w:highlight w:val="none"/>
                        </w:rPr>
                      </w:sdtEndPr>
                      <w:sdtContent>
                        <w:r>
                          <w:rPr>
                            <w:rFonts w:hint="eastAsia" w:ascii="仿宋" w:hAnsi="仿宋" w:eastAsia="仿宋" w:cs="Arial"/>
                            <w:color w:val="auto"/>
                            <w:kern w:val="0"/>
                            <w:sz w:val="24"/>
                            <w:highlight w:val="none"/>
                          </w:rPr>
                          <w:sym w:font="Wingdings" w:char="00A8"/>
                        </w:r>
                      </w:sdtContent>
                    </w:sdt>
                  </w:sdtContent>
                </w:sdt>
              </w:sdtContent>
            </w:sdt>
            <w:r>
              <w:rPr>
                <w:rFonts w:ascii="仿宋" w:hAnsi="仿宋" w:eastAsia="仿宋" w:cs="Arial"/>
                <w:color w:val="auto"/>
                <w:kern w:val="0"/>
                <w:sz w:val="24"/>
                <w:highlight w:val="none"/>
              </w:rPr>
              <w:t xml:space="preserve"> B</w:t>
            </w:r>
            <w:r>
              <w:rPr>
                <w:rFonts w:hint="eastAsia" w:ascii="仿宋" w:hAnsi="仿宋" w:eastAsia="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投标人应当提供的资格、资信证明文件</w:t>
            </w:r>
          </w:p>
        </w:tc>
        <w:tc>
          <w:tcPr>
            <w:tcW w:w="648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1）资格证明文件：见招标文件第二部分11.1。</w:t>
            </w:r>
          </w:p>
          <w:p>
            <w:pPr>
              <w:spacing w:line="360" w:lineRule="auto"/>
              <w:rPr>
                <w:rFonts w:ascii="仿宋" w:hAnsi="仿宋" w:eastAsia="仿宋" w:cs="Arial"/>
                <w:snapToGrid w:val="0"/>
                <w:color w:val="auto"/>
                <w:kern w:val="0"/>
                <w:szCs w:val="21"/>
                <w:highlight w:val="none"/>
              </w:rPr>
            </w:pPr>
            <w:r>
              <w:rPr>
                <w:rFonts w:hint="eastAsia" w:ascii="仿宋" w:hAnsi="仿宋" w:eastAsia="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4"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p>
        </w:tc>
        <w:tc>
          <w:tcPr>
            <w:tcW w:w="648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212966419"/>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不组织。</w:t>
            </w:r>
          </w:p>
          <w:p>
            <w:pPr>
              <w:spacing w:line="360" w:lineRule="auto"/>
              <w:rPr>
                <w:rFonts w:ascii="仿宋" w:hAnsi="仿宋" w:eastAsia="仿宋"/>
                <w:color w:val="auto"/>
                <w:sz w:val="24"/>
                <w:szCs w:val="20"/>
                <w:highlight w:val="none"/>
              </w:rPr>
            </w:pPr>
            <w:sdt>
              <w:sdtPr>
                <w:rPr>
                  <w:rFonts w:hint="eastAsia" w:ascii="仿宋" w:hAnsi="仿宋" w:eastAsia="仿宋" w:cs="Arial"/>
                  <w:color w:val="auto"/>
                  <w:kern w:val="0"/>
                  <w:sz w:val="24"/>
                  <w:highlight w:val="none"/>
                </w:rPr>
                <w:id w:val="-999802974"/>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B组织，</w:t>
            </w:r>
            <w:r>
              <w:rPr>
                <w:rFonts w:hint="eastAsia" w:ascii="仿宋" w:hAnsi="仿宋" w:eastAsia="仿宋"/>
                <w:color w:val="auto"/>
                <w:sz w:val="24"/>
                <w:highlight w:val="none"/>
              </w:rPr>
              <w:t>时间：</w:t>
            </w:r>
            <w:r>
              <w:rPr>
                <w:rFonts w:ascii="仿宋" w:hAnsi="仿宋" w:eastAsia="仿宋"/>
                <w:color w:val="auto"/>
                <w:sz w:val="24"/>
                <w:highlight w:val="none"/>
              </w:rPr>
              <w:t>,地点：</w:t>
            </w:r>
            <w:r>
              <w:rPr>
                <w:rFonts w:hint="eastAsia" w:ascii="仿宋" w:hAnsi="仿宋" w:eastAsia="仿宋"/>
                <w:color w:val="auto"/>
                <w:sz w:val="24"/>
                <w:highlight w:val="none"/>
              </w:rPr>
              <w:t>，联系人：，联系方式：</w:t>
            </w:r>
            <w:r>
              <w:rPr>
                <w:rFonts w:hint="eastAsia" w:ascii="仿宋" w:hAnsi="仿宋" w:eastAsia="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样品提供</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639946486"/>
              </w:sdtPr>
              <w:sdtEndPr>
                <w:rPr>
                  <w:rFonts w:hint="eastAsia" w:ascii="仿宋" w:hAnsi="仿宋" w:eastAsia="仿宋" w:cs="Arial"/>
                  <w:color w:val="auto"/>
                  <w:kern w:val="0"/>
                  <w:sz w:val="24"/>
                  <w:highlight w:val="none"/>
                </w:rPr>
              </w:sdtEndPr>
              <w:sdtContent>
                <w:r>
                  <w:rPr>
                    <w:rFonts w:hint="eastAsia" w:ascii="仿宋" w:hAnsi="仿宋" w:eastAsia="仿宋" w:cs="Arial"/>
                    <w:color w:val="auto"/>
                    <w:kern w:val="0"/>
                    <w:sz w:val="24"/>
                    <w:highlight w:val="none"/>
                  </w:rPr>
                  <w:sym w:font="Wingdings" w:char="F0FE"/>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不要求提供。</w:t>
            </w:r>
          </w:p>
          <w:p>
            <w:pPr>
              <w:spacing w:line="360" w:lineRule="auto"/>
              <w:rPr>
                <w:rFonts w:ascii="仿宋" w:hAnsi="仿宋" w:eastAsia="仿宋"/>
                <w:color w:val="auto"/>
                <w:kern w:val="0"/>
                <w:sz w:val="24"/>
                <w:highlight w:val="none"/>
              </w:rPr>
            </w:pPr>
            <w:sdt>
              <w:sdtPr>
                <w:rPr>
                  <w:rFonts w:hint="eastAsia" w:ascii="仿宋" w:hAnsi="仿宋" w:eastAsia="仿宋" w:cs="Arial"/>
                  <w:color w:val="auto"/>
                  <w:kern w:val="0"/>
                  <w:sz w:val="24"/>
                  <w:highlight w:val="none"/>
                </w:rPr>
                <w:id w:val="1026831988"/>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B</w:t>
            </w:r>
            <w:r>
              <w:rPr>
                <w:rFonts w:hint="eastAsia" w:ascii="仿宋" w:hAnsi="仿宋" w:eastAsia="仿宋"/>
                <w:color w:val="auto"/>
                <w:kern w:val="0"/>
                <w:sz w:val="24"/>
                <w:highlight w:val="none"/>
              </w:rPr>
              <w:t>要求提供，</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 w:hAnsi="仿宋" w:eastAsia="仿宋"/>
                <w:color w:val="auto"/>
                <w:kern w:val="0"/>
                <w:sz w:val="24"/>
                <w:highlight w:val="none"/>
              </w:rPr>
              <w:t>；</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 w:hAnsi="仿宋" w:eastAsia="仿宋"/>
                <w:color w:val="auto"/>
                <w:kern w:val="0"/>
                <w:sz w:val="24"/>
                <w:highlight w:val="none"/>
              </w:rPr>
              <w:t>；</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 w:hAnsi="仿宋" w:eastAsia="仿宋"/>
                <w:color w:val="auto"/>
                <w:sz w:val="24"/>
                <w:highlight w:val="none"/>
                <w:u w:val="single"/>
              </w:rPr>
              <w:t>评标办法</w:t>
            </w:r>
            <w:r>
              <w:rPr>
                <w:rFonts w:hint="eastAsia" w:ascii="仿宋" w:hAnsi="仿宋" w:eastAsia="仿宋"/>
                <w:color w:val="auto"/>
                <w:kern w:val="0"/>
                <w:sz w:val="24"/>
                <w:highlight w:val="none"/>
              </w:rPr>
              <w:t>；</w:t>
            </w:r>
          </w:p>
          <w:p>
            <w:pPr>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4）是否需要随样品提交检测报告</w:t>
            </w:r>
            <w:r>
              <w:rPr>
                <w:rFonts w:hint="eastAsia" w:ascii="仿宋" w:hAnsi="仿宋" w:eastAsia="仿宋"/>
                <w:color w:val="auto"/>
                <w:kern w:val="0"/>
                <w:sz w:val="24"/>
                <w:highlight w:val="none"/>
              </w:rPr>
              <w:t>：</w:t>
            </w:r>
            <w:sdt>
              <w:sdtPr>
                <w:rPr>
                  <w:rFonts w:hint="eastAsia" w:ascii="仿宋" w:hAnsi="仿宋" w:eastAsia="仿宋" w:cs="Arial"/>
                  <w:color w:val="auto"/>
                  <w:kern w:val="0"/>
                  <w:sz w:val="24"/>
                  <w:highlight w:val="none"/>
                </w:rPr>
                <w:id w:val="1303421454"/>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r>
              <w:rPr>
                <w:rFonts w:ascii="仿宋" w:hAnsi="仿宋" w:eastAsia="仿宋"/>
                <w:color w:val="auto"/>
                <w:kern w:val="0"/>
                <w:sz w:val="24"/>
                <w:highlight w:val="none"/>
              </w:rPr>
              <w:t>否；</w:t>
            </w:r>
            <w:sdt>
              <w:sdtPr>
                <w:rPr>
                  <w:rFonts w:hint="eastAsia" w:ascii="仿宋" w:hAnsi="仿宋" w:eastAsia="仿宋" w:cs="Arial"/>
                  <w:color w:val="auto"/>
                  <w:kern w:val="0"/>
                  <w:sz w:val="24"/>
                  <w:highlight w:val="none"/>
                </w:rPr>
                <w:id w:val="1621728433"/>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是，检测机构的要求</w:t>
            </w:r>
            <w:r>
              <w:rPr>
                <w:rFonts w:hint="eastAsia" w:ascii="仿宋" w:hAnsi="仿宋" w:eastAsia="仿宋"/>
                <w:color w:val="auto"/>
                <w:sz w:val="24"/>
                <w:highlight w:val="none"/>
              </w:rPr>
              <w:t>：</w:t>
            </w:r>
            <w:r>
              <w:rPr>
                <w:rFonts w:hint="eastAsia" w:ascii="仿宋" w:hAnsi="仿宋" w:eastAsia="仿宋"/>
                <w:color w:val="auto"/>
                <w:kern w:val="0"/>
                <w:sz w:val="24"/>
                <w:highlight w:val="none"/>
              </w:rPr>
              <w:t>；检测内容</w:t>
            </w:r>
            <w:r>
              <w:rPr>
                <w:rFonts w:hint="eastAsia" w:ascii="仿宋" w:hAnsi="仿宋" w:eastAsia="仿宋"/>
                <w:color w:val="auto"/>
                <w:sz w:val="24"/>
                <w:highlight w:val="none"/>
              </w:rPr>
              <w:t>：</w:t>
            </w:r>
            <w:r>
              <w:rPr>
                <w:rFonts w:hint="eastAsia" w:ascii="仿宋" w:hAnsi="仿宋" w:eastAsia="仿宋"/>
                <w:color w:val="auto"/>
                <w:kern w:val="0"/>
                <w:sz w:val="24"/>
                <w:highlight w:val="none"/>
              </w:rPr>
              <w:t>。</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5）提供样品的时间：</w:t>
            </w:r>
            <w:r>
              <w:rPr>
                <w:rFonts w:hint="eastAsia" w:ascii="仿宋" w:hAnsi="仿宋" w:eastAsia="仿宋"/>
                <w:color w:val="auto"/>
                <w:kern w:val="0"/>
                <w:sz w:val="24"/>
                <w:highlight w:val="none"/>
              </w:rPr>
              <w:t>；地点：；联系人</w:t>
            </w:r>
            <w:r>
              <w:rPr>
                <w:rFonts w:hint="eastAsia" w:ascii="仿宋" w:hAnsi="仿宋" w:eastAsia="仿宋"/>
                <w:color w:val="auto"/>
                <w:sz w:val="24"/>
                <w:highlight w:val="none"/>
              </w:rPr>
              <w:t>：，</w:t>
            </w:r>
            <w:r>
              <w:rPr>
                <w:rFonts w:hint="eastAsia" w:ascii="仿宋" w:hAnsi="仿宋" w:eastAsia="仿宋"/>
                <w:color w:val="auto"/>
                <w:kern w:val="28"/>
                <w:sz w:val="24"/>
                <w:highlight w:val="none"/>
              </w:rPr>
              <w:t>联系电话：</w:t>
            </w:r>
            <w:r>
              <w:rPr>
                <w:rFonts w:hint="eastAsia" w:ascii="仿宋" w:hAnsi="仿宋" w:eastAsia="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 (6)采购活动结束后，对于未中标人提供的样品，</w:t>
            </w:r>
            <w:r>
              <w:rPr>
                <w:rFonts w:hint="eastAsia" w:ascii="仿宋" w:hAnsi="仿宋" w:eastAsia="仿宋"/>
                <w:color w:val="auto"/>
                <w:sz w:val="24"/>
                <w:highlight w:val="none"/>
              </w:rPr>
              <w:t>采购人、采购机构将通知</w:t>
            </w:r>
            <w:r>
              <w:rPr>
                <w:rFonts w:ascii="仿宋" w:hAnsi="仿宋" w:eastAsia="仿宋"/>
                <w:color w:val="auto"/>
                <w:sz w:val="24"/>
                <w:highlight w:val="none"/>
              </w:rPr>
              <w:t>未中标人</w:t>
            </w:r>
            <w:r>
              <w:rPr>
                <w:rFonts w:hint="eastAsia" w:ascii="仿宋" w:hAnsi="仿宋" w:eastAsia="仿宋"/>
                <w:color w:val="auto"/>
                <w:sz w:val="24"/>
                <w:highlight w:val="none"/>
              </w:rPr>
              <w:t>在规定的时间内取回，逾期未取回的，采购人、采购机构不负保管义务</w:t>
            </w:r>
            <w:r>
              <w:rPr>
                <w:rFonts w:ascii="仿宋" w:hAnsi="仿宋" w:eastAsia="仿宋"/>
                <w:color w:val="auto"/>
                <w:sz w:val="24"/>
                <w:highlight w:val="none"/>
              </w:rPr>
              <w:t>；对于中标人提供的样品，</w:t>
            </w:r>
            <w:r>
              <w:rPr>
                <w:rFonts w:hint="eastAsia" w:ascii="仿宋" w:hAnsi="仿宋" w:eastAsia="仿宋"/>
                <w:color w:val="auto"/>
                <w:sz w:val="24"/>
                <w:highlight w:val="none"/>
              </w:rPr>
              <w:t>采购人将进</w:t>
            </w:r>
            <w:r>
              <w:rPr>
                <w:rFonts w:ascii="仿宋" w:hAnsi="仿宋" w:eastAsia="仿宋"/>
                <w:color w:val="auto"/>
                <w:sz w:val="24"/>
                <w:highlight w:val="none"/>
              </w:rPr>
              <w:t>行保管、封存，并作为履约验收的参考。</w:t>
            </w:r>
          </w:p>
          <w:p>
            <w:pPr>
              <w:spacing w:line="360" w:lineRule="auto"/>
              <w:rPr>
                <w:rFonts w:ascii="仿宋" w:hAnsi="仿宋" w:eastAsia="仿宋"/>
                <w:b/>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Cs/>
                <w:color w:val="auto"/>
                <w:sz w:val="24"/>
                <w:highlight w:val="none"/>
              </w:rPr>
            </w:pPr>
            <w:r>
              <w:rPr>
                <w:rFonts w:hint="eastAsia" w:ascii="仿宋" w:hAnsi="仿宋" w:eastAsia="仿宋" w:cs="仿宋_GB2312"/>
                <w:b/>
                <w:color w:val="auto"/>
                <w:sz w:val="24"/>
                <w:highlight w:val="none"/>
              </w:rPr>
              <w:t>方案讲解演示</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859348549"/>
              </w:sdtPr>
              <w:sdtEndPr>
                <w:rPr>
                  <w:rFonts w:hint="eastAsia" w:ascii="仿宋" w:hAnsi="仿宋" w:eastAsia="仿宋" w:cs="Arial"/>
                  <w:color w:val="auto"/>
                  <w:kern w:val="0"/>
                  <w:sz w:val="24"/>
                  <w:highlight w:val="none"/>
                </w:rPr>
              </w:sdtEndPr>
              <w:sdtContent>
                <w:r>
                  <w:rPr>
                    <w:rFonts w:hint="eastAsia" w:ascii="仿宋" w:hAnsi="仿宋" w:eastAsia="仿宋" w:cs="Arial"/>
                    <w:color w:val="auto"/>
                    <w:kern w:val="0"/>
                    <w:sz w:val="24"/>
                    <w:highlight w:val="none"/>
                  </w:rPr>
                  <w:sym w:font="Wingdings" w:char="F0FE"/>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不组织。</w:t>
            </w:r>
          </w:p>
          <w:p>
            <w:pPr>
              <w:spacing w:line="360" w:lineRule="auto"/>
              <w:rPr>
                <w:rFonts w:ascii="仿宋" w:hAnsi="仿宋" w:eastAsia="仿宋"/>
                <w:color w:val="auto"/>
                <w:kern w:val="0"/>
                <w:sz w:val="24"/>
                <w:highlight w:val="none"/>
              </w:rPr>
            </w:pPr>
            <w:sdt>
              <w:sdtPr>
                <w:rPr>
                  <w:rFonts w:hint="eastAsia" w:ascii="仿宋" w:hAnsi="仿宋" w:eastAsia="仿宋" w:cs="Arial"/>
                  <w:color w:val="auto"/>
                  <w:kern w:val="0"/>
                  <w:sz w:val="24"/>
                  <w:highlight w:val="none"/>
                </w:rPr>
                <w:id w:val="1174071719"/>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ascii="仿宋" w:hAnsi="仿宋" w:eastAsia="仿宋"/>
                <w:color w:val="auto"/>
                <w:kern w:val="0"/>
                <w:sz w:val="24"/>
                <w:highlight w:val="none"/>
              </w:rPr>
              <w:t>B组织。</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2）方案讲解演示可选择</w:t>
            </w:r>
            <w:r>
              <w:rPr>
                <w:rFonts w:hint="eastAsia" w:ascii="仿宋" w:hAnsi="仿宋" w:eastAsia="仿宋"/>
                <w:color w:val="auto"/>
                <w:kern w:val="0"/>
                <w:sz w:val="24"/>
                <w:highlight w:val="none"/>
              </w:rPr>
              <w:t>以下其中一种方式：</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方式二：采购代理机构现场讲解演示。现场讲解地点为，讲解演示所用电脑等设备由投标人自备。现场讲解演示人员进场时提供讲解人员名单（加盖公章）及身份证明，否则不得讲解演示。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_GB2312"/>
                <w:b/>
                <w:color w:val="auto"/>
                <w:kern w:val="0"/>
                <w:sz w:val="24"/>
                <w:highlight w:val="none"/>
                <w:lang w:val="zh-CN"/>
              </w:rPr>
            </w:pPr>
            <w:r>
              <w:rPr>
                <w:rFonts w:hint="eastAsia" w:ascii="仿宋" w:hAnsi="仿宋" w:eastAsia="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是否允许采购进口产品</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Arial"/>
                <w:color w:val="auto"/>
                <w:kern w:val="0"/>
                <w:sz w:val="24"/>
                <w:highlight w:val="none"/>
              </w:rPr>
            </w:pPr>
            <w:sdt>
              <w:sdtPr>
                <w:rPr>
                  <w:rFonts w:hint="eastAsia" w:ascii="仿宋" w:hAnsi="仿宋" w:eastAsia="仿宋" w:cs="Arial"/>
                  <w:color w:val="auto"/>
                  <w:kern w:val="0"/>
                  <w:sz w:val="24"/>
                  <w:highlight w:val="none"/>
                </w:rPr>
                <w:id w:val="-1828425707"/>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00FE"/>
                </w:r>
              </w:sdtContent>
            </w:sdt>
            <w:r>
              <w:rPr>
                <w:rFonts w:hint="eastAsia" w:ascii="仿宋" w:hAnsi="仿宋" w:eastAsia="仿宋" w:cs="Arial"/>
                <w:color w:val="auto"/>
                <w:kern w:val="0"/>
                <w:sz w:val="24"/>
                <w:highlight w:val="none"/>
              </w:rPr>
              <w:t>本项目不允许采购进口产品。</w:t>
            </w:r>
          </w:p>
          <w:p>
            <w:pPr>
              <w:spacing w:line="360" w:lineRule="auto"/>
              <w:rPr>
                <w:rFonts w:ascii="仿宋" w:hAnsi="仿宋" w:eastAsia="仿宋"/>
                <w:color w:val="auto"/>
                <w:highlight w:val="none"/>
              </w:rPr>
            </w:pPr>
            <w:sdt>
              <w:sdtPr>
                <w:rPr>
                  <w:rFonts w:hint="eastAsia" w:ascii="仿宋" w:hAnsi="仿宋" w:eastAsia="仿宋" w:cs="Arial"/>
                  <w:color w:val="auto"/>
                  <w:kern w:val="0"/>
                  <w:sz w:val="24"/>
                  <w:highlight w:val="none"/>
                </w:rPr>
                <w:id w:val="-52852824"/>
              </w:sdtPr>
              <w:sdtEndPr>
                <w:rPr>
                  <w:rFonts w:hint="eastAsia" w:ascii="仿宋" w:hAnsi="仿宋" w:eastAsia="仿宋" w:cs="Arial"/>
                  <w:color w:val="auto"/>
                  <w:kern w:val="0"/>
                  <w:sz w:val="24"/>
                  <w:highlight w:val="none"/>
                </w:rPr>
              </w:sdtEndPr>
              <w:sdtContent>
                <w:sdt>
                  <w:sdtPr>
                    <w:rPr>
                      <w:rFonts w:hint="eastAsia" w:ascii="仿宋" w:hAnsi="仿宋" w:eastAsia="仿宋" w:cs="Arial"/>
                      <w:color w:val="auto"/>
                      <w:kern w:val="0"/>
                      <w:sz w:val="24"/>
                      <w:highlight w:val="none"/>
                    </w:rPr>
                    <w:id w:val="-1828425707"/>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00A8"/>
                    </w:r>
                  </w:sdtContent>
                </w:sdt>
              </w:sdtContent>
            </w:sdt>
            <w:r>
              <w:rPr>
                <w:rFonts w:hint="eastAsia" w:ascii="仿宋" w:hAnsi="仿宋" w:eastAsia="仿宋"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4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项目属性与核心产品</w:t>
            </w:r>
          </w:p>
        </w:tc>
        <w:tc>
          <w:tcPr>
            <w:tcW w:w="6487" w:type="dxa"/>
            <w:tcBorders>
              <w:top w:val="single" w:color="000000" w:sz="8" w:space="0"/>
              <w:left w:val="single" w:color="000000" w:sz="2" w:space="0"/>
              <w:bottom w:val="single" w:color="000000" w:sz="8" w:space="0"/>
              <w:right w:val="single" w:color="000000" w:sz="8" w:space="0"/>
            </w:tcBorders>
            <w:vAlign w:val="center"/>
          </w:tcPr>
          <w:p>
            <w:pPr>
              <w:pStyle w:val="26"/>
              <w:rPr>
                <w:rFonts w:hint="default" w:eastAsia="仿宋"/>
                <w:color w:val="auto"/>
                <w:highlight w:val="none"/>
                <w:lang w:val="en-US" w:eastAsia="zh-CN"/>
              </w:rPr>
            </w:pPr>
            <w:r>
              <w:rPr>
                <w:rFonts w:hint="eastAsia" w:ascii="仿宋" w:hAnsi="仿宋" w:eastAsia="仿宋"/>
                <w:color w:val="auto"/>
                <w:sz w:val="24"/>
                <w:highlight w:val="none"/>
                <w:lang w:val="en-US" w:eastAsia="zh-CN"/>
              </w:rPr>
              <w:t>标项一：</w:t>
            </w:r>
          </w:p>
          <w:p>
            <w:pPr>
              <w:spacing w:line="360" w:lineRule="auto"/>
              <w:rPr>
                <w:rFonts w:hint="eastAsia" w:ascii="仿宋" w:hAnsi="仿宋" w:eastAsia="仿宋" w:cs="仿宋"/>
                <w:color w:val="auto"/>
                <w:sz w:val="24"/>
                <w:highlight w:val="none"/>
                <w:u w:val="single"/>
                <w:lang w:eastAsia="zh-CN"/>
              </w:rPr>
            </w:pPr>
            <w:sdt>
              <w:sdtPr>
                <w:rPr>
                  <w:rFonts w:hint="eastAsia" w:ascii="仿宋" w:hAnsi="仿宋" w:eastAsia="仿宋" w:cs="Arial"/>
                  <w:color w:val="auto"/>
                  <w:kern w:val="0"/>
                  <w:sz w:val="24"/>
                  <w:highlight w:val="none"/>
                </w:rPr>
                <w:id w:val="-1680814204"/>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00A8"/>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货物类，单一产品或核心产品为：</w:t>
            </w:r>
            <w:r>
              <w:rPr>
                <w:rFonts w:hint="eastAsia" w:ascii="仿宋" w:hAnsi="仿宋" w:eastAsia="仿宋" w:cs="仿宋"/>
                <w:color w:val="auto"/>
                <w:sz w:val="24"/>
                <w:highlight w:val="none"/>
                <w:u w:val="single"/>
                <w:lang w:val="en-US" w:eastAsia="zh-CN"/>
              </w:rPr>
              <w:t xml:space="preserve"> </w:t>
            </w:r>
          </w:p>
          <w:p>
            <w:pPr>
              <w:spacing w:line="360" w:lineRule="auto"/>
              <w:rPr>
                <w:rFonts w:hint="eastAsia" w:ascii="仿宋" w:hAnsi="仿宋" w:eastAsia="仿宋"/>
                <w:color w:val="auto"/>
                <w:sz w:val="24"/>
                <w:highlight w:val="none"/>
              </w:rPr>
            </w:pPr>
            <w:sdt>
              <w:sdtPr>
                <w:rPr>
                  <w:rFonts w:hint="eastAsia" w:ascii="仿宋" w:hAnsi="仿宋" w:eastAsia="仿宋" w:cs="Arial"/>
                  <w:color w:val="auto"/>
                  <w:kern w:val="0"/>
                  <w:sz w:val="24"/>
                  <w:highlight w:val="none"/>
                </w:rPr>
                <w:id w:val="1582104899"/>
              </w:sdtPr>
              <w:sdtEndPr>
                <w:rPr>
                  <w:rFonts w:hint="eastAsia" w:ascii="仿宋" w:hAnsi="仿宋" w:eastAsia="仿宋" w:cs="Arial"/>
                  <w:color w:val="auto"/>
                  <w:kern w:val="0"/>
                  <w:sz w:val="24"/>
                  <w:highlight w:val="none"/>
                </w:rPr>
              </w:sdtEndPr>
              <w:sdtContent>
                <w:r>
                  <w:rPr>
                    <w:rFonts w:hint="eastAsia" w:ascii="仿宋" w:hAnsi="仿宋" w:eastAsia="仿宋" w:cs="Arial"/>
                    <w:color w:val="auto"/>
                    <w:kern w:val="0"/>
                    <w:sz w:val="24"/>
                    <w:highlight w:val="none"/>
                  </w:rPr>
                  <w:sym w:font="Wingdings" w:char="00FE"/>
                </w:r>
              </w:sdtContent>
            </w:sdt>
            <w:r>
              <w:rPr>
                <w:rFonts w:ascii="仿宋" w:hAnsi="仿宋" w:eastAsia="仿宋" w:cs="Arial"/>
                <w:color w:val="auto"/>
                <w:kern w:val="0"/>
                <w:sz w:val="24"/>
                <w:highlight w:val="none"/>
              </w:rPr>
              <w:t>B</w:t>
            </w:r>
            <w:r>
              <w:rPr>
                <w:rFonts w:hint="eastAsia" w:ascii="仿宋" w:hAnsi="仿宋" w:eastAsia="仿宋"/>
                <w:color w:val="auto"/>
                <w:sz w:val="24"/>
                <w:highlight w:val="none"/>
              </w:rPr>
              <w:t>服务类。</w:t>
            </w:r>
          </w:p>
          <w:p>
            <w:pPr>
              <w:pStyle w:val="26"/>
              <w:rPr>
                <w:rFonts w:hint="eastAsia"/>
                <w:color w:val="auto"/>
                <w:highlight w:val="none"/>
              </w:rPr>
            </w:pPr>
            <w:r>
              <w:rPr>
                <w:rFonts w:hint="eastAsia" w:ascii="仿宋" w:hAnsi="仿宋" w:eastAsia="仿宋"/>
                <w:color w:val="auto"/>
                <w:sz w:val="24"/>
                <w:highlight w:val="none"/>
                <w:lang w:val="en-US" w:eastAsia="zh-CN"/>
              </w:rPr>
              <w:t>标项二：</w:t>
            </w:r>
          </w:p>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680814204"/>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00A8"/>
                </w:r>
              </w:sdtContent>
            </w:sdt>
            <w:r>
              <w:rPr>
                <w:rFonts w:ascii="仿宋" w:hAnsi="仿宋" w:eastAsia="仿宋" w:cs="Arial"/>
                <w:color w:val="auto"/>
                <w:kern w:val="0"/>
                <w:sz w:val="24"/>
                <w:highlight w:val="none"/>
              </w:rPr>
              <w:t>A</w:t>
            </w:r>
            <w:r>
              <w:rPr>
                <w:rFonts w:hint="eastAsia" w:ascii="仿宋" w:hAnsi="仿宋" w:eastAsia="仿宋"/>
                <w:color w:val="auto"/>
                <w:sz w:val="24"/>
                <w:highlight w:val="none"/>
              </w:rPr>
              <w:t>货物类，单一产品或核心产品为：</w:t>
            </w:r>
          </w:p>
          <w:p>
            <w:pPr>
              <w:spacing w:line="360" w:lineRule="auto"/>
              <w:rPr>
                <w:rFonts w:ascii="仿宋" w:hAnsi="仿宋" w:eastAsia="仿宋"/>
                <w:color w:val="auto"/>
                <w:sz w:val="24"/>
                <w:highlight w:val="none"/>
              </w:rPr>
            </w:pPr>
            <w:sdt>
              <w:sdtPr>
                <w:rPr>
                  <w:rFonts w:hint="eastAsia" w:ascii="仿宋" w:hAnsi="仿宋" w:eastAsia="仿宋" w:cs="Arial"/>
                  <w:color w:val="auto"/>
                  <w:kern w:val="0"/>
                  <w:sz w:val="24"/>
                  <w:highlight w:val="none"/>
                </w:rPr>
                <w:id w:val="1582104899"/>
              </w:sdtPr>
              <w:sdtEndPr>
                <w:rPr>
                  <w:rFonts w:hint="eastAsia" w:ascii="仿宋" w:hAnsi="仿宋" w:eastAsia="仿宋" w:cs="Arial"/>
                  <w:color w:val="auto"/>
                  <w:kern w:val="0"/>
                  <w:sz w:val="24"/>
                  <w:highlight w:val="none"/>
                </w:rPr>
              </w:sdtEndPr>
              <w:sdtContent>
                <w:r>
                  <w:rPr>
                    <w:rFonts w:hint="eastAsia" w:ascii="仿宋" w:hAnsi="仿宋" w:eastAsia="仿宋" w:cs="Arial"/>
                    <w:color w:val="auto"/>
                    <w:kern w:val="0"/>
                    <w:sz w:val="24"/>
                    <w:highlight w:val="none"/>
                  </w:rPr>
                  <w:sym w:font="Wingdings" w:char="00FE"/>
                </w:r>
              </w:sdtContent>
            </w:sdt>
            <w:r>
              <w:rPr>
                <w:rFonts w:ascii="仿宋" w:hAnsi="仿宋" w:eastAsia="仿宋" w:cs="Arial"/>
                <w:color w:val="auto"/>
                <w:kern w:val="0"/>
                <w:sz w:val="24"/>
                <w:highlight w:val="none"/>
              </w:rPr>
              <w:t>B</w:t>
            </w:r>
            <w:r>
              <w:rPr>
                <w:rFonts w:hint="eastAsia" w:ascii="仿宋" w:hAnsi="仿宋" w:eastAsia="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采购标的对应的中小企业划分标准所属行业</w:t>
            </w:r>
          </w:p>
        </w:tc>
        <w:tc>
          <w:tcPr>
            <w:tcW w:w="64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Arial"/>
                <w:color w:val="auto"/>
                <w:kern w:val="0"/>
                <w:sz w:val="24"/>
                <w:highlight w:val="none"/>
              </w:rPr>
            </w:pPr>
            <w:r>
              <w:rPr>
                <w:rFonts w:hint="eastAsia" w:ascii="仿宋" w:hAnsi="仿宋" w:eastAsia="仿宋" w:cs="Arial"/>
                <w:color w:val="auto"/>
                <w:kern w:val="0"/>
                <w:sz w:val="24"/>
                <w:highlight w:val="none"/>
              </w:rPr>
              <w:t>标</w:t>
            </w:r>
            <w:r>
              <w:rPr>
                <w:rFonts w:hint="eastAsia" w:ascii="仿宋" w:hAnsi="仿宋" w:eastAsia="仿宋" w:cs="Arial"/>
                <w:color w:val="auto"/>
                <w:kern w:val="0"/>
                <w:sz w:val="24"/>
                <w:highlight w:val="none"/>
                <w:lang w:val="en-US" w:eastAsia="zh-CN"/>
              </w:rPr>
              <w:t>项一</w:t>
            </w:r>
            <w:r>
              <w:rPr>
                <w:rFonts w:hint="eastAsia" w:ascii="仿宋" w:hAnsi="仿宋" w:eastAsia="仿宋" w:cs="Arial"/>
                <w:color w:val="auto"/>
                <w:kern w:val="0"/>
                <w:sz w:val="24"/>
                <w:highlight w:val="none"/>
              </w:rPr>
              <w:t>：</w:t>
            </w:r>
            <w:r>
              <w:rPr>
                <w:rFonts w:hint="eastAsia" w:ascii="仿宋" w:hAnsi="仿宋" w:eastAsia="仿宋" w:cs="Arial"/>
                <w:color w:val="auto"/>
                <w:kern w:val="0"/>
                <w:sz w:val="24"/>
                <w:highlight w:val="none"/>
                <w:u w:val="single"/>
                <w:lang w:val="en-US" w:eastAsia="zh-CN"/>
              </w:rPr>
              <w:t>温室气体手工监测及移动监测服务项目</w:t>
            </w:r>
            <w:r>
              <w:rPr>
                <w:rFonts w:hint="eastAsia" w:ascii="仿宋" w:hAnsi="仿宋" w:eastAsia="仿宋" w:cs="Arial"/>
                <w:color w:val="auto"/>
                <w:kern w:val="0"/>
                <w:sz w:val="24"/>
                <w:highlight w:val="none"/>
              </w:rPr>
              <w:t>，属于</w:t>
            </w:r>
            <w:r>
              <w:rPr>
                <w:rFonts w:hint="eastAsia" w:ascii="仿宋" w:hAnsi="仿宋" w:eastAsia="仿宋" w:cs="Arial"/>
                <w:color w:val="auto"/>
                <w:kern w:val="0"/>
                <w:sz w:val="24"/>
                <w:highlight w:val="none"/>
                <w:u w:val="single"/>
              </w:rPr>
              <w:t>（</w:t>
            </w:r>
            <w:r>
              <w:rPr>
                <w:rFonts w:hint="eastAsia" w:ascii="仿宋" w:hAnsi="仿宋" w:eastAsia="仿宋" w:cs="Arial"/>
                <w:color w:val="auto"/>
                <w:kern w:val="0"/>
                <w:sz w:val="24"/>
                <w:highlight w:val="none"/>
                <w:u w:val="single"/>
                <w:lang w:val="en-US" w:eastAsia="zh-CN"/>
              </w:rPr>
              <w:t>十六</w:t>
            </w:r>
            <w:r>
              <w:rPr>
                <w:rFonts w:hint="eastAsia" w:ascii="仿宋" w:hAnsi="仿宋" w:eastAsia="仿宋" w:cs="Arial"/>
                <w:color w:val="auto"/>
                <w:kern w:val="0"/>
                <w:sz w:val="24"/>
                <w:highlight w:val="none"/>
                <w:u w:val="single"/>
              </w:rPr>
              <w:t>）</w:t>
            </w:r>
            <w:r>
              <w:rPr>
                <w:rFonts w:hint="eastAsia" w:ascii="仿宋" w:hAnsi="仿宋" w:eastAsia="仿宋" w:cs="Arial"/>
                <w:color w:val="auto"/>
                <w:kern w:val="0"/>
                <w:sz w:val="24"/>
                <w:highlight w:val="none"/>
                <w:u w:val="single"/>
                <w:lang w:val="en-US" w:eastAsia="zh-CN"/>
              </w:rPr>
              <w:t>其他未列明行业</w:t>
            </w:r>
            <w:r>
              <w:rPr>
                <w:rFonts w:hint="eastAsia" w:ascii="仿宋" w:hAnsi="仿宋" w:eastAsia="仿宋" w:cs="Arial"/>
                <w:color w:val="auto"/>
                <w:kern w:val="0"/>
                <w:sz w:val="24"/>
                <w:highlight w:val="none"/>
              </w:rPr>
              <w:t>；</w:t>
            </w:r>
          </w:p>
          <w:p>
            <w:pPr>
              <w:snapToGrid w:val="0"/>
              <w:spacing w:line="360" w:lineRule="auto"/>
              <w:rPr>
                <w:rFonts w:ascii="仿宋" w:hAnsi="仿宋" w:eastAsia="仿宋"/>
                <w:color w:val="auto"/>
                <w:highlight w:val="none"/>
              </w:rPr>
            </w:pPr>
            <w:r>
              <w:rPr>
                <w:rFonts w:hint="eastAsia" w:ascii="仿宋" w:hAnsi="仿宋" w:eastAsia="仿宋" w:cs="Arial"/>
                <w:color w:val="auto"/>
                <w:kern w:val="0"/>
                <w:sz w:val="24"/>
                <w:highlight w:val="none"/>
              </w:rPr>
              <w:t>标</w:t>
            </w:r>
            <w:r>
              <w:rPr>
                <w:rFonts w:hint="eastAsia" w:ascii="仿宋" w:hAnsi="仿宋" w:eastAsia="仿宋" w:cs="Arial"/>
                <w:color w:val="auto"/>
                <w:kern w:val="0"/>
                <w:sz w:val="24"/>
                <w:highlight w:val="none"/>
                <w:lang w:val="en-US" w:eastAsia="zh-CN"/>
              </w:rPr>
              <w:t>项二</w:t>
            </w:r>
            <w:r>
              <w:rPr>
                <w:rFonts w:hint="eastAsia" w:ascii="仿宋" w:hAnsi="仿宋" w:eastAsia="仿宋" w:cs="Arial"/>
                <w:color w:val="auto"/>
                <w:kern w:val="0"/>
                <w:sz w:val="24"/>
                <w:highlight w:val="none"/>
              </w:rPr>
              <w:t>：</w:t>
            </w:r>
            <w:r>
              <w:rPr>
                <w:rFonts w:hint="eastAsia" w:ascii="仿宋" w:hAnsi="仿宋" w:eastAsia="仿宋" w:cs="Arial"/>
                <w:color w:val="auto"/>
                <w:kern w:val="0"/>
                <w:sz w:val="24"/>
                <w:highlight w:val="none"/>
                <w:u w:val="single"/>
                <w:lang w:eastAsia="zh-CN"/>
              </w:rPr>
              <w:t>杭州市温室气体同化反演及通量核算服务</w:t>
            </w:r>
            <w:r>
              <w:rPr>
                <w:rFonts w:hint="eastAsia" w:ascii="仿宋" w:hAnsi="仿宋" w:eastAsia="仿宋" w:cs="Arial"/>
                <w:color w:val="auto"/>
                <w:kern w:val="0"/>
                <w:sz w:val="24"/>
                <w:highlight w:val="none"/>
              </w:rPr>
              <w:t>，属于</w:t>
            </w:r>
            <w:r>
              <w:rPr>
                <w:rFonts w:hint="eastAsia" w:ascii="仿宋" w:hAnsi="仿宋" w:eastAsia="仿宋" w:cs="Arial"/>
                <w:color w:val="auto"/>
                <w:kern w:val="0"/>
                <w:sz w:val="24"/>
                <w:highlight w:val="none"/>
                <w:u w:val="single"/>
              </w:rPr>
              <w:t>（</w:t>
            </w:r>
            <w:r>
              <w:rPr>
                <w:rFonts w:hint="eastAsia" w:ascii="仿宋" w:hAnsi="仿宋" w:eastAsia="仿宋" w:cs="Arial"/>
                <w:color w:val="auto"/>
                <w:kern w:val="0"/>
                <w:sz w:val="24"/>
                <w:highlight w:val="none"/>
                <w:u w:val="single"/>
                <w:lang w:val="en-US" w:eastAsia="zh-CN"/>
              </w:rPr>
              <w:t>十六</w:t>
            </w:r>
            <w:r>
              <w:rPr>
                <w:rFonts w:hint="eastAsia" w:ascii="仿宋" w:hAnsi="仿宋" w:eastAsia="仿宋" w:cs="Arial"/>
                <w:color w:val="auto"/>
                <w:kern w:val="0"/>
                <w:sz w:val="24"/>
                <w:highlight w:val="none"/>
                <w:u w:val="single"/>
              </w:rPr>
              <w:t>）</w:t>
            </w:r>
            <w:r>
              <w:rPr>
                <w:rFonts w:hint="eastAsia" w:ascii="仿宋" w:hAnsi="仿宋" w:eastAsia="仿宋" w:cs="Arial"/>
                <w:color w:val="auto"/>
                <w:kern w:val="0"/>
                <w:sz w:val="24"/>
                <w:highlight w:val="none"/>
                <w:u w:val="single"/>
                <w:lang w:val="en-US" w:eastAsia="zh-CN"/>
              </w:rPr>
              <w:t>其他未列明行业</w:t>
            </w:r>
            <w:r>
              <w:rPr>
                <w:rFonts w:hint="eastAsia" w:ascii="仿宋" w:hAnsi="仿宋" w:eastAsia="仿宋" w:cs="Arial"/>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节能产品、环境标志产品</w:t>
            </w:r>
          </w:p>
        </w:tc>
        <w:tc>
          <w:tcPr>
            <w:tcW w:w="64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highlight w:val="none"/>
              </w:rPr>
            </w:pPr>
            <w:r>
              <w:rPr>
                <w:rFonts w:hint="eastAsia" w:ascii="仿宋" w:hAnsi="仿宋" w:eastAsia="仿宋"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中小企业信用融资</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olor w:val="auto"/>
                <w:sz w:val="24"/>
                <w:highlight w:val="none"/>
              </w:rPr>
            </w:pPr>
            <w:r>
              <w:rPr>
                <w:rFonts w:hint="eastAsia" w:ascii="仿宋" w:hAnsi="仿宋" w:eastAsia="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olor w:val="auto"/>
                <w:highlight w:val="none"/>
              </w:rPr>
            </w:pP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备份投标文件送达地点和签收人员</w:t>
            </w:r>
          </w:p>
        </w:tc>
        <w:tc>
          <w:tcPr>
            <w:tcW w:w="6487"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 w:hAnsi="仿宋" w:eastAsia="仿宋"/>
                <w:color w:val="auto"/>
                <w:kern w:val="28"/>
                <w:sz w:val="24"/>
                <w:highlight w:val="none"/>
              </w:rPr>
            </w:pPr>
            <w:r>
              <w:rPr>
                <w:rFonts w:hint="eastAsia" w:ascii="仿宋" w:hAnsi="仿宋" w:eastAsia="仿宋" w:cs="Times New Roman"/>
                <w:color w:val="auto"/>
                <w:kern w:val="28"/>
                <w:sz w:val="24"/>
                <w:szCs w:val="24"/>
                <w:highlight w:val="none"/>
              </w:rPr>
              <w:t>备份投标文件送达地点：</w:t>
            </w:r>
            <w:r>
              <w:rPr>
                <w:rFonts w:hint="eastAsia" w:ascii="仿宋" w:hAnsi="仿宋" w:eastAsia="仿宋"/>
                <w:color w:val="auto"/>
                <w:sz w:val="24"/>
                <w:highlight w:val="none"/>
                <w:u w:val="single"/>
              </w:rPr>
              <w:t xml:space="preserve">杭州市教工路1号西湖数源软件园17号楼5层509室 </w:t>
            </w:r>
            <w:r>
              <w:rPr>
                <w:rFonts w:hint="eastAsia" w:ascii="仿宋" w:hAnsi="仿宋" w:eastAsia="仿宋" w:cs="Times New Roman"/>
                <w:color w:val="auto"/>
                <w:kern w:val="28"/>
                <w:sz w:val="24"/>
                <w:szCs w:val="24"/>
                <w:highlight w:val="none"/>
              </w:rPr>
              <w:t>；备份投标文件签收人员联系电话：</w:t>
            </w:r>
            <w:r>
              <w:rPr>
                <w:rFonts w:hint="eastAsia" w:ascii="仿宋" w:hAnsi="仿宋" w:eastAsia="仿宋" w:cs="Times New Roman"/>
                <w:color w:val="auto"/>
                <w:kern w:val="28"/>
                <w:sz w:val="24"/>
                <w:szCs w:val="24"/>
                <w:highlight w:val="none"/>
                <w:u w:val="single"/>
              </w:rPr>
              <w:t>金婉娇，</w:t>
            </w:r>
            <w:r>
              <w:rPr>
                <w:rFonts w:ascii="仿宋" w:hAnsi="仿宋" w:eastAsia="仿宋"/>
                <w:color w:val="auto"/>
                <w:sz w:val="24"/>
                <w:highlight w:val="none"/>
                <w:u w:val="single"/>
              </w:rPr>
              <w:t>0571-87211505</w:t>
            </w:r>
            <w:r>
              <w:rPr>
                <w:rFonts w:hint="eastAsia" w:ascii="仿宋" w:hAnsi="仿宋" w:eastAsia="仿宋" w:cs="仿宋_GB2312"/>
                <w:color w:val="auto"/>
                <w:sz w:val="24"/>
                <w:szCs w:val="24"/>
                <w:highlight w:val="none"/>
              </w:rPr>
              <w:t>。</w:t>
            </w:r>
            <w:r>
              <w:rPr>
                <w:rFonts w:hint="eastAsia" w:ascii="仿宋" w:hAnsi="仿宋" w:eastAsia="仿宋" w:cs="仿宋_GB2312"/>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
                <w:b/>
                <w:color w:val="auto"/>
                <w:sz w:val="24"/>
                <w:highlight w:val="none"/>
              </w:rPr>
              <w:t>采购代理机构代理服务费用</w:t>
            </w:r>
          </w:p>
        </w:tc>
        <w:tc>
          <w:tcPr>
            <w:tcW w:w="6487" w:type="dxa"/>
            <w:tcBorders>
              <w:top w:val="single" w:color="000000" w:sz="8" w:space="0"/>
              <w:left w:val="single" w:color="000000" w:sz="2" w:space="0"/>
              <w:bottom w:val="single" w:color="000000" w:sz="8" w:space="0"/>
              <w:right w:val="single" w:color="000000" w:sz="8" w:space="0"/>
            </w:tcBorders>
            <w:vAlign w:val="center"/>
          </w:tcPr>
          <w:p>
            <w:pPr>
              <w:pStyle w:val="59"/>
              <w:widowControl w:val="0"/>
              <w:snapToGrid w:val="0"/>
              <w:spacing w:before="0" w:beforeAutospacing="0" w:after="0" w:afterAutospacing="0" w:line="360" w:lineRule="auto"/>
              <w:ind w:firstLine="480" w:firstLineChars="200"/>
              <w:jc w:val="both"/>
              <w:rPr>
                <w:rFonts w:ascii="仿宋" w:hAnsi="仿宋" w:eastAsia="仿宋" w:cs="仿宋"/>
                <w:color w:val="auto"/>
                <w:szCs w:val="21"/>
                <w:highlight w:val="none"/>
              </w:rPr>
            </w:pPr>
            <w:r>
              <w:rPr>
                <w:rFonts w:hint="eastAsia" w:ascii="仿宋" w:hAnsi="仿宋" w:eastAsia="仿宋" w:cs="仿宋"/>
                <w:color w:val="auto"/>
                <w:kern w:val="2"/>
                <w:szCs w:val="21"/>
                <w:highlight w:val="none"/>
              </w:rPr>
              <w:t>投标人需自行承担涉及投标的一切费用；</w:t>
            </w:r>
          </w:p>
          <w:p>
            <w:pPr>
              <w:pStyle w:val="59"/>
              <w:widowControl w:val="0"/>
              <w:snapToGrid w:val="0"/>
              <w:spacing w:before="0" w:beforeAutospacing="0" w:after="0" w:afterAutospacing="0" w:line="360" w:lineRule="auto"/>
              <w:ind w:firstLine="480" w:firstLineChars="200"/>
              <w:jc w:val="both"/>
              <w:rPr>
                <w:rFonts w:ascii="仿宋" w:hAnsi="仿宋" w:eastAsia="仿宋" w:cs="仿宋"/>
                <w:color w:val="auto"/>
                <w:szCs w:val="21"/>
                <w:highlight w:val="none"/>
              </w:rPr>
            </w:pPr>
            <w:r>
              <w:rPr>
                <w:rFonts w:hint="eastAsia" w:ascii="仿宋" w:hAnsi="仿宋" w:eastAsia="仿宋" w:cs="仿宋"/>
                <w:color w:val="auto"/>
                <w:kern w:val="2"/>
                <w:szCs w:val="21"/>
                <w:highlight w:val="none"/>
              </w:rPr>
              <w:t>如果投标人中标，将向杭州意信招标代理有限公司支付代理</w:t>
            </w:r>
            <w:r>
              <w:rPr>
                <w:rFonts w:hint="eastAsia" w:ascii="仿宋" w:hAnsi="仿宋" w:eastAsia="仿宋" w:cs="仿宋"/>
                <w:color w:val="auto"/>
                <w:kern w:val="2"/>
                <w:szCs w:val="21"/>
                <w:highlight w:val="none"/>
                <w:lang w:val="en-US" w:eastAsia="zh-CN"/>
              </w:rPr>
              <w:t>服务</w:t>
            </w:r>
            <w:r>
              <w:rPr>
                <w:rFonts w:hint="eastAsia" w:ascii="仿宋" w:hAnsi="仿宋" w:eastAsia="仿宋" w:cs="仿宋"/>
                <w:color w:val="auto"/>
                <w:kern w:val="2"/>
                <w:szCs w:val="21"/>
                <w:highlight w:val="none"/>
              </w:rPr>
              <w:t>费。收费标准如下：</w:t>
            </w:r>
          </w:p>
          <w:tbl>
            <w:tblPr>
              <w:tblStyle w:val="64"/>
              <w:tblW w:w="4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中标金额（万元）</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货物类费率</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服务类费率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100以下</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1.5%</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100-500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1.1%</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rPr>
                    <w:t>500-1000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0.8%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rPr>
                    <w:t>1000-5000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0.5%</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0.25%</w:t>
                  </w:r>
                </w:p>
              </w:tc>
            </w:tr>
          </w:tbl>
          <w:p>
            <w:pPr>
              <w:pStyle w:val="59"/>
              <w:widowControl w:val="0"/>
              <w:snapToGrid w:val="0"/>
              <w:spacing w:before="0" w:beforeAutospacing="0" w:after="0" w:afterAutospacing="0" w:line="360" w:lineRule="auto"/>
              <w:ind w:firstLine="480" w:firstLineChars="200"/>
              <w:jc w:val="both"/>
              <w:rPr>
                <w:rFonts w:ascii="仿宋" w:hAnsi="仿宋" w:eastAsia="仿宋" w:cs="仿宋"/>
                <w:color w:val="auto"/>
                <w:szCs w:val="21"/>
                <w:highlight w:val="none"/>
              </w:rPr>
            </w:pPr>
            <w:r>
              <w:rPr>
                <w:rFonts w:hint="eastAsia" w:ascii="仿宋" w:hAnsi="仿宋" w:eastAsia="仿宋" w:cs="仿宋"/>
                <w:color w:val="auto"/>
                <w:kern w:val="2"/>
                <w:szCs w:val="21"/>
                <w:highlight w:val="none"/>
              </w:rPr>
              <w:t>注：差额累进法计算总额。</w:t>
            </w:r>
          </w:p>
          <w:p>
            <w:pPr>
              <w:pStyle w:val="59"/>
              <w:widowControl w:val="0"/>
              <w:snapToGrid w:val="0"/>
              <w:spacing w:before="0" w:beforeAutospacing="0" w:after="0" w:afterAutospacing="0" w:line="360" w:lineRule="auto"/>
              <w:ind w:firstLine="480" w:firstLineChars="200"/>
              <w:jc w:val="both"/>
              <w:rPr>
                <w:rFonts w:ascii="仿宋" w:hAnsi="仿宋" w:eastAsia="仿宋" w:cs="仿宋"/>
                <w:color w:val="auto"/>
                <w:szCs w:val="21"/>
                <w:highlight w:val="none"/>
              </w:rPr>
            </w:pPr>
            <w:r>
              <w:rPr>
                <w:rFonts w:hint="eastAsia" w:ascii="仿宋" w:hAnsi="仿宋" w:eastAsia="仿宋" w:cs="仿宋"/>
                <w:color w:val="auto"/>
                <w:kern w:val="2"/>
                <w:szCs w:val="21"/>
                <w:highlight w:val="none"/>
              </w:rPr>
              <w:t>例：如</w:t>
            </w:r>
            <w:r>
              <w:rPr>
                <w:rFonts w:hint="eastAsia" w:ascii="仿宋" w:hAnsi="仿宋" w:eastAsia="仿宋" w:cs="仿宋"/>
                <w:color w:val="auto"/>
                <w:kern w:val="2"/>
                <w:szCs w:val="21"/>
                <w:highlight w:val="none"/>
                <w:lang w:val="en-US" w:eastAsia="zh-CN"/>
              </w:rPr>
              <w:t>服务</w:t>
            </w:r>
            <w:r>
              <w:rPr>
                <w:rFonts w:hint="eastAsia" w:ascii="仿宋" w:hAnsi="仿宋" w:eastAsia="仿宋" w:cs="仿宋"/>
                <w:color w:val="auto"/>
                <w:kern w:val="2"/>
                <w:szCs w:val="21"/>
                <w:highlight w:val="none"/>
              </w:rPr>
              <w:t>类项目中标金额为RMB1500000元，计算方法如下：</w:t>
            </w:r>
          </w:p>
          <w:p>
            <w:pPr>
              <w:widowControl/>
              <w:spacing w:line="360" w:lineRule="auto"/>
              <w:jc w:val="left"/>
              <w:rPr>
                <w:rFonts w:ascii="仿宋" w:hAnsi="仿宋" w:eastAsia="仿宋" w:cs="仿宋"/>
                <w:color w:val="auto"/>
                <w:highlight w:val="none"/>
              </w:rPr>
            </w:pPr>
            <w:r>
              <w:rPr>
                <w:rFonts w:hint="eastAsia" w:ascii="仿宋" w:hAnsi="仿宋" w:eastAsia="仿宋" w:cs="仿宋"/>
                <w:color w:val="auto"/>
                <w:sz w:val="24"/>
                <w:highlight w:val="none"/>
              </w:rPr>
              <w:t>中标服务费=1000000*1.5%+500000*</w:t>
            </w:r>
            <w:r>
              <w:rPr>
                <w:rFonts w:hint="eastAsia" w:ascii="仿宋" w:hAnsi="仿宋" w:eastAsia="仿宋" w:cs="仿宋"/>
                <w:color w:val="auto"/>
                <w:sz w:val="24"/>
                <w:highlight w:val="none"/>
                <w:lang w:val="en-US" w:eastAsia="zh-CN"/>
              </w:rPr>
              <w:t>0.8</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190</w:t>
            </w:r>
            <w:r>
              <w:rPr>
                <w:rFonts w:hint="eastAsia" w:ascii="仿宋" w:hAnsi="仿宋" w:eastAsia="仿宋" w:cs="仿宋"/>
                <w:color w:val="auto"/>
                <w:sz w:val="24"/>
                <w:highlight w:val="none"/>
              </w:rPr>
              <w:t>00元。</w:t>
            </w:r>
          </w:p>
          <w:p>
            <w:pPr>
              <w:pStyle w:val="34"/>
              <w:spacing w:line="360" w:lineRule="auto"/>
              <w:contextualSpacing/>
              <w:rPr>
                <w:rFonts w:ascii="仿宋" w:hAnsi="仿宋" w:eastAsia="仿宋"/>
                <w:color w:val="auto"/>
                <w:sz w:val="24"/>
                <w:highlight w:val="none"/>
              </w:rPr>
            </w:pPr>
            <w:r>
              <w:rPr>
                <w:rFonts w:hint="eastAsia" w:ascii="仿宋" w:hAnsi="仿宋" w:eastAsia="仿宋" w:cs="Times New Roman"/>
                <w:color w:val="auto"/>
                <w:kern w:val="28"/>
                <w:sz w:val="24"/>
                <w:szCs w:val="24"/>
                <w:highlight w:val="none"/>
              </w:rPr>
              <w:t>结算方式及时间：中标通知书发出后5个工作日内。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特别说明</w:t>
            </w:r>
          </w:p>
        </w:tc>
        <w:tc>
          <w:tcPr>
            <w:tcW w:w="64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无</w:t>
            </w:r>
            <w:r>
              <w:rPr>
                <w:rFonts w:hint="eastAsia" w:ascii="仿宋" w:hAnsi="仿宋" w:eastAsia="仿宋" w:cs="宋体"/>
                <w:b/>
                <w:color w:val="auto"/>
                <w:kern w:val="0"/>
                <w:sz w:val="24"/>
                <w:highlight w:val="none"/>
              </w:rPr>
              <w:t>。</w:t>
            </w:r>
          </w:p>
        </w:tc>
      </w:tr>
    </w:tbl>
    <w:p>
      <w:pPr>
        <w:snapToGrid w:val="0"/>
        <w:spacing w:line="360" w:lineRule="auto"/>
        <w:jc w:val="center"/>
        <w:rPr>
          <w:rFonts w:ascii="仿宋" w:hAnsi="仿宋" w:eastAsia="仿宋" w:cs="仿宋_GB2312"/>
          <w:b/>
          <w:color w:val="auto"/>
          <w:sz w:val="32"/>
          <w:szCs w:val="20"/>
          <w:highlight w:val="none"/>
        </w:rPr>
      </w:pPr>
    </w:p>
    <w:bookmarkEnd w:id="10"/>
    <w:p>
      <w:pPr>
        <w:adjustRightInd/>
        <w:spacing w:line="360" w:lineRule="auto"/>
        <w:ind w:firstLine="3845" w:firstLineChars="1197"/>
        <w:outlineLvl w:val="0"/>
        <w:rPr>
          <w:rFonts w:ascii="仿宋" w:hAnsi="仿宋" w:eastAsia="仿宋" w:cs="仿宋_GB2312"/>
          <w:b/>
          <w:color w:val="auto"/>
          <w:sz w:val="32"/>
          <w:szCs w:val="20"/>
          <w:highlight w:val="none"/>
        </w:rPr>
      </w:pPr>
      <w:bookmarkStart w:id="11" w:name="第三部分"/>
      <w:bookmarkStart w:id="12" w:name="_Toc164416483"/>
      <w:r>
        <w:rPr>
          <w:rFonts w:hint="eastAsia" w:ascii="仿宋" w:hAnsi="仿宋" w:eastAsia="仿宋" w:cs="仿宋_GB2312"/>
          <w:b/>
          <w:color w:val="auto"/>
          <w:sz w:val="32"/>
          <w:szCs w:val="20"/>
          <w:highlight w:val="none"/>
        </w:rPr>
        <w:t>一、总则</w:t>
      </w:r>
    </w:p>
    <w:p>
      <w:pPr>
        <w:snapToGrid w:val="0"/>
        <w:spacing w:line="360" w:lineRule="auto"/>
        <w:ind w:firstLine="361" w:firstLineChars="150"/>
        <w:jc w:val="left"/>
        <w:outlineLvl w:val="1"/>
        <w:rPr>
          <w:rFonts w:ascii="仿宋" w:hAnsi="仿宋" w:eastAsia="仿宋"/>
          <w:b/>
          <w:color w:val="auto"/>
          <w:sz w:val="24"/>
          <w:highlight w:val="none"/>
        </w:rPr>
      </w:pPr>
      <w:r>
        <w:rPr>
          <w:rFonts w:ascii="仿宋" w:hAnsi="仿宋" w:eastAsia="仿宋"/>
          <w:b/>
          <w:color w:val="auto"/>
          <w:sz w:val="24"/>
          <w:highlight w:val="none"/>
        </w:rPr>
        <w:t xml:space="preserve">1. </w:t>
      </w:r>
      <w:r>
        <w:rPr>
          <w:rFonts w:hint="eastAsia" w:ascii="仿宋" w:hAnsi="仿宋" w:eastAsia="仿宋"/>
          <w:b/>
          <w:color w:val="auto"/>
          <w:sz w:val="24"/>
          <w:highlight w:val="none"/>
        </w:rPr>
        <w:t>适用范围</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_GB2312"/>
          <w:b/>
          <w:color w:val="auto"/>
          <w:sz w:val="24"/>
          <w:highlight w:val="none"/>
        </w:rPr>
      </w:pPr>
      <w:r>
        <w:rPr>
          <w:rFonts w:ascii="仿宋" w:hAnsi="仿宋" w:eastAsia="仿宋" w:cs="仿宋_GB2312"/>
          <w:b/>
          <w:color w:val="auto"/>
          <w:sz w:val="24"/>
          <w:highlight w:val="none"/>
        </w:rPr>
        <w:t xml:space="preserve">   2.定义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 </w:t>
      </w:r>
      <w:r>
        <w:rPr>
          <w:rFonts w:hint="eastAsia" w:ascii="仿宋" w:hAnsi="仿宋" w:eastAsia="仿宋"/>
          <w:color w:val="auto"/>
          <w:sz w:val="24"/>
          <w:highlight w:val="none"/>
        </w:rPr>
        <w:t>“采购人”系指招标公告中载明的本项目的采购人。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2.2 </w:t>
      </w:r>
      <w:r>
        <w:rPr>
          <w:rFonts w:hint="eastAsia" w:ascii="仿宋" w:hAnsi="仿宋" w:eastAsia="仿宋"/>
          <w:color w:val="auto"/>
          <w:sz w:val="24"/>
          <w:highlight w:val="none"/>
        </w:rPr>
        <w:t>“采购机构”系指招标公告中载明的本项目的采购机构。</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 </w:t>
      </w:r>
      <w:r>
        <w:rPr>
          <w:rFonts w:hint="eastAsia" w:ascii="仿宋" w:hAnsi="仿宋" w:eastAsia="仿宋"/>
          <w:color w:val="auto"/>
          <w:sz w:val="24"/>
          <w:highlight w:val="none"/>
        </w:rPr>
        <w:t>“投标人”系指是指响应招标、参加投标竞争的法人、其他组织或者自然人。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 </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 </w:t>
      </w:r>
      <w:r>
        <w:rPr>
          <w:rFonts w:hint="eastAsia" w:ascii="仿宋" w:hAnsi="仿宋" w:eastAsia="仿宋"/>
          <w:color w:val="auto"/>
          <w:sz w:val="24"/>
          <w:highlight w:val="none"/>
        </w:rPr>
        <w:t>“▲”系指实质性要求条款，“★”系产品采购项目中单一产品或核心产品，“</w:t>
      </w:r>
      <w:sdt>
        <w:sdtPr>
          <w:rPr>
            <w:rFonts w:hint="eastAsia" w:ascii="仿宋" w:hAnsi="仿宋" w:eastAsia="仿宋" w:cs="Arial"/>
            <w:color w:val="auto"/>
            <w:kern w:val="0"/>
            <w:sz w:val="24"/>
            <w:highlight w:val="none"/>
          </w:rPr>
          <w:id w:val="512970236"/>
        </w:sdtPr>
        <w:sdtEndPr>
          <w:rPr>
            <w:rFonts w:hint="eastAsia" w:ascii="仿宋" w:hAnsi="仿宋" w:eastAsia="仿宋" w:cs="Arial"/>
            <w:color w:val="auto"/>
            <w:kern w:val="0"/>
            <w:sz w:val="24"/>
            <w:highlight w:val="none"/>
          </w:rPr>
        </w:sdtEndPr>
        <w:sdtContent>
          <w:sdt>
            <w:sdtPr>
              <w:rPr>
                <w:rFonts w:hint="eastAsia" w:ascii="仿宋" w:hAnsi="仿宋" w:eastAsia="仿宋" w:cs="Arial"/>
                <w:color w:val="auto"/>
                <w:kern w:val="0"/>
                <w:sz w:val="24"/>
                <w:highlight w:val="none"/>
              </w:rPr>
              <w:id w:val="169864768"/>
            </w:sdtPr>
            <w:sdtEndPr>
              <w:rPr>
                <w:rFonts w:hint="eastAsia" w:ascii="仿宋" w:hAnsi="仿宋" w:eastAsia="仿宋" w:cs="Arial"/>
                <w:color w:val="auto"/>
                <w:kern w:val="0"/>
                <w:sz w:val="24"/>
                <w:highlight w:val="none"/>
              </w:rPr>
            </w:sdtEndPr>
            <w:sdtContent>
              <w:r>
                <w:rPr>
                  <w:rFonts w:ascii="仿宋" w:hAnsi="仿宋" w:eastAsia="仿宋" w:cs="Arial"/>
                  <w:color w:val="auto"/>
                  <w:kern w:val="0"/>
                  <w:sz w:val="24"/>
                  <w:highlight w:val="none"/>
                </w:rPr>
                <w:sym w:font="Wingdings" w:char="F0FE"/>
              </w:r>
            </w:sdtContent>
          </w:sdt>
        </w:sdtContent>
      </w:sdt>
      <w:r>
        <w:rPr>
          <w:rFonts w:hint="eastAsia" w:ascii="仿宋" w:hAnsi="仿宋" w:eastAsia="仿宋"/>
          <w:color w:val="auto"/>
          <w:sz w:val="24"/>
          <w:highlight w:val="none"/>
        </w:rPr>
        <w:t>”系指适用本项目的要求，“</w:t>
      </w:r>
      <w:sdt>
        <w:sdtPr>
          <w:rPr>
            <w:rFonts w:hint="eastAsia" w:ascii="仿宋" w:hAnsi="仿宋" w:eastAsia="仿宋" w:cs="Arial"/>
            <w:color w:val="auto"/>
            <w:kern w:val="0"/>
            <w:sz w:val="24"/>
            <w:highlight w:val="none"/>
          </w:rPr>
          <w:id w:val="404888855"/>
        </w:sdtPr>
        <w:sdtEndPr>
          <w:rPr>
            <w:rFonts w:hint="eastAsia" w:ascii="仿宋" w:hAnsi="仿宋" w:eastAsia="仿宋" w:cs="Arial"/>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olor w:val="auto"/>
          <w:sz w:val="24"/>
          <w:highlight w:val="none"/>
        </w:rPr>
        <w:t>”系指不适用本项目的要求。</w:t>
      </w:r>
    </w:p>
    <w:p>
      <w:pPr>
        <w:spacing w:line="360" w:lineRule="auto"/>
        <w:ind w:firstLine="241" w:firstLineChars="100"/>
        <w:rPr>
          <w:rFonts w:ascii="仿宋" w:hAnsi="仿宋" w:eastAsia="仿宋"/>
          <w:b/>
          <w:color w:val="auto"/>
          <w:sz w:val="24"/>
          <w:highlight w:val="none"/>
        </w:rPr>
      </w:pPr>
      <w:r>
        <w:rPr>
          <w:rFonts w:ascii="仿宋" w:hAnsi="仿宋" w:eastAsia="仿宋"/>
          <w:b/>
          <w:color w:val="auto"/>
          <w:sz w:val="24"/>
          <w:highlight w:val="none"/>
        </w:rPr>
        <w:t>3.</w:t>
      </w:r>
      <w:r>
        <w:rPr>
          <w:rFonts w:hint="eastAsia" w:ascii="仿宋" w:hAnsi="仿宋" w:eastAsia="仿宋"/>
          <w:b/>
          <w:color w:val="auto"/>
          <w:sz w:val="24"/>
          <w:highlight w:val="none"/>
        </w:rPr>
        <w:t>采购项目需要落实的政府采购政策</w:t>
      </w:r>
    </w:p>
    <w:p>
      <w:pPr>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 xml:space="preserve">3.1 </w:t>
      </w:r>
      <w:r>
        <w:rPr>
          <w:rFonts w:hint="eastAsia" w:ascii="仿宋" w:hAnsi="仿宋" w:eastAsia="仿宋"/>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 xml:space="preserve">3.2 </w:t>
      </w:r>
      <w:r>
        <w:rPr>
          <w:rFonts w:hint="eastAsia" w:ascii="仿宋" w:hAnsi="仿宋" w:eastAsia="仿宋"/>
          <w:color w:val="auto"/>
          <w:sz w:val="24"/>
          <w:highlight w:val="none"/>
        </w:rPr>
        <w:t>支持绿色发展</w:t>
      </w:r>
    </w:p>
    <w:p>
      <w:pPr>
        <w:spacing w:line="360" w:lineRule="auto"/>
        <w:ind w:firstLine="480" w:firstLineChars="200"/>
        <w:rPr>
          <w:rFonts w:ascii="仿宋" w:hAnsi="仿宋" w:eastAsia="仿宋"/>
          <w:b/>
          <w:color w:val="auto"/>
          <w:sz w:val="24"/>
          <w:highlight w:val="none"/>
        </w:rPr>
      </w:pPr>
      <w:r>
        <w:rPr>
          <w:rFonts w:ascii="仿宋" w:hAnsi="仿宋" w:eastAsia="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3.2.2 </w:t>
      </w:r>
      <w:r>
        <w:rPr>
          <w:rFonts w:hint="eastAsia" w:ascii="仿宋" w:hAnsi="仿宋" w:eastAsia="仿宋"/>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3.2.3</w:t>
      </w:r>
      <w:r>
        <w:rPr>
          <w:rFonts w:hint="eastAsia" w:ascii="仿宋" w:hAnsi="仿宋" w:eastAsia="仿宋"/>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3.3支持中小企业发展</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bCs/>
          <w:color w:val="auto"/>
          <w:sz w:val="24"/>
          <w:highlight w:val="none"/>
        </w:rPr>
        <w:t>3.3.2</w:t>
      </w:r>
      <w:r>
        <w:rPr>
          <w:rFonts w:hint="eastAsia" w:ascii="仿宋" w:hAnsi="仿宋" w:eastAsia="仿宋"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3.3.3</w:t>
      </w:r>
      <w:r>
        <w:rPr>
          <w:rFonts w:hint="eastAsia" w:ascii="仿宋" w:hAnsi="仿宋" w:eastAsia="仿宋"/>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olor w:val="auto"/>
          <w:sz w:val="24"/>
          <w:highlight w:val="none"/>
          <w:u w:val="single"/>
        </w:rPr>
        <w:t>2</w:t>
      </w:r>
      <w:r>
        <w:rPr>
          <w:rFonts w:ascii="仿宋" w:hAnsi="仿宋" w:eastAsia="仿宋"/>
          <w:color w:val="auto"/>
          <w:sz w:val="24"/>
          <w:highlight w:val="none"/>
          <w:u w:val="single"/>
        </w:rPr>
        <w:t>0</w:t>
      </w:r>
      <w:r>
        <w:rPr>
          <w:rFonts w:ascii="仿宋" w:hAnsi="仿宋" w:eastAsia="仿宋"/>
          <w:color w:val="auto"/>
          <w:sz w:val="24"/>
          <w:highlight w:val="none"/>
        </w:rPr>
        <w:t>%的扣除，用扣除后的价格参与评审。接受大中型企业与小微企业组成联合体或者允许大中型企业向一家或者多家小微企业分包的</w:t>
      </w:r>
      <w:r>
        <w:rPr>
          <w:rFonts w:hint="eastAsia" w:ascii="仿宋" w:hAnsi="仿宋" w:eastAsia="仿宋"/>
          <w:color w:val="auto"/>
          <w:sz w:val="24"/>
          <w:highlight w:val="none"/>
        </w:rPr>
        <w:t>政府</w:t>
      </w:r>
      <w:r>
        <w:rPr>
          <w:rFonts w:ascii="仿宋" w:hAnsi="仿宋" w:eastAsia="仿宋"/>
          <w:color w:val="auto"/>
          <w:sz w:val="24"/>
          <w:highlight w:val="none"/>
        </w:rPr>
        <w:t>采购</w:t>
      </w:r>
      <w:r>
        <w:rPr>
          <w:rFonts w:hint="eastAsia" w:ascii="仿宋" w:hAnsi="仿宋" w:eastAsia="仿宋"/>
          <w:color w:val="auto"/>
          <w:sz w:val="24"/>
          <w:highlight w:val="none"/>
        </w:rPr>
        <w:t>货物或服务</w:t>
      </w:r>
      <w:r>
        <w:rPr>
          <w:rFonts w:ascii="仿宋" w:hAnsi="仿宋" w:eastAsia="仿宋"/>
          <w:color w:val="auto"/>
          <w:sz w:val="24"/>
          <w:highlight w:val="none"/>
        </w:rPr>
        <w:t>项目，对于联合协议或者分包意向协议约定小微企业的合同份额占到合同总金额30%以上的，对联合体或者大中型企业的报价给予</w:t>
      </w:r>
      <w:r>
        <w:rPr>
          <w:rFonts w:hint="eastAsia" w:ascii="仿宋" w:hAnsi="仿宋" w:eastAsia="仿宋"/>
          <w:color w:val="auto"/>
          <w:sz w:val="24"/>
          <w:highlight w:val="none"/>
          <w:u w:val="single"/>
        </w:rPr>
        <w:t>6</w:t>
      </w:r>
      <w:r>
        <w:rPr>
          <w:rFonts w:ascii="仿宋" w:hAnsi="仿宋" w:eastAsia="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3.3.6</w:t>
      </w:r>
      <w:r>
        <w:rPr>
          <w:rFonts w:hint="eastAsia" w:ascii="仿宋" w:hAnsi="仿宋" w:eastAsia="仿宋"/>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3.3.7中小企业享受扶持政策获得政府采购合同的，小微企业不得将合同分包给大中型企业，中型企业不得将合同分包给大型企业</w:t>
      </w:r>
      <w:r>
        <w:rPr>
          <w:rFonts w:hint="eastAsia" w:ascii="仿宋" w:hAnsi="仿宋" w:eastAsia="仿宋"/>
          <w:color w:val="auto"/>
          <w:sz w:val="24"/>
          <w:highlight w:val="none"/>
        </w:rPr>
        <w:t>。</w:t>
      </w:r>
    </w:p>
    <w:p>
      <w:pPr>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3.4</w:t>
      </w:r>
      <w:r>
        <w:rPr>
          <w:rFonts w:hint="eastAsia" w:ascii="仿宋" w:hAnsi="仿宋" w:eastAsia="仿宋"/>
          <w:bCs/>
          <w:color w:val="auto"/>
          <w:sz w:val="24"/>
          <w:highlight w:val="none"/>
        </w:rPr>
        <w:t>支持创新发展</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3.4.1 采购人优先采购被认定</w:t>
      </w:r>
      <w:r>
        <w:rPr>
          <w:rFonts w:hint="eastAsia" w:ascii="仿宋" w:hAnsi="仿宋" w:eastAsia="仿宋"/>
          <w:color w:val="auto"/>
          <w:sz w:val="24"/>
          <w:highlight w:val="none"/>
        </w:rPr>
        <w:t>为首台套产品和“制造精品”的自主创新产品。</w:t>
      </w:r>
    </w:p>
    <w:p>
      <w:pPr>
        <w:spacing w:line="360" w:lineRule="auto"/>
        <w:ind w:firstLine="480" w:firstLineChars="200"/>
        <w:rPr>
          <w:rFonts w:hint="eastAsia" w:ascii="仿宋" w:hAnsi="仿宋" w:eastAsia="仿宋"/>
          <w:color w:val="auto"/>
          <w:sz w:val="24"/>
          <w:highlight w:val="none"/>
        </w:rPr>
      </w:pPr>
      <w:r>
        <w:rPr>
          <w:rFonts w:ascii="仿宋" w:hAnsi="仿宋" w:eastAsia="仿宋"/>
          <w:color w:val="auto"/>
          <w:sz w:val="24"/>
          <w:highlight w:val="none"/>
        </w:rPr>
        <w:t>3.4.2首台套产品</w:t>
      </w:r>
      <w:r>
        <w:rPr>
          <w:rFonts w:hint="eastAsia" w:ascii="仿宋" w:hAnsi="仿宋" w:eastAsia="仿宋"/>
          <w:color w:val="auto"/>
          <w:sz w:val="24"/>
          <w:highlight w:val="none"/>
        </w:rPr>
        <w:t>被纳入《首台套产品推广应用指导目录》之日起</w:t>
      </w:r>
      <w:r>
        <w:rPr>
          <w:rFonts w:ascii="仿宋" w:hAnsi="仿宋" w:eastAsia="仿宋"/>
          <w:color w:val="auto"/>
          <w:sz w:val="24"/>
          <w:highlight w:val="none"/>
        </w:rPr>
        <w:t>2年内，以及产品核心技术高于国内领先水平，并具有明晰自主知识产权的“制造精品”产品，</w:t>
      </w:r>
      <w:r>
        <w:rPr>
          <w:rFonts w:hint="eastAsia" w:ascii="仿宋" w:hAnsi="仿宋" w:eastAsia="仿宋"/>
          <w:color w:val="auto"/>
          <w:sz w:val="24"/>
          <w:highlight w:val="none"/>
        </w:rPr>
        <w:t>自认定之日起</w:t>
      </w:r>
      <w:r>
        <w:rPr>
          <w:rFonts w:ascii="仿宋" w:hAnsi="仿宋" w:eastAsia="仿宋"/>
          <w:color w:val="auto"/>
          <w:sz w:val="24"/>
          <w:highlight w:val="none"/>
        </w:rPr>
        <w:t>2年内视同已具备相应销售业绩，参加政府采购活动</w:t>
      </w:r>
      <w:r>
        <w:rPr>
          <w:rFonts w:hint="eastAsia" w:ascii="仿宋" w:hAnsi="仿宋" w:eastAsia="仿宋"/>
          <w:color w:val="auto"/>
          <w:sz w:val="24"/>
          <w:highlight w:val="none"/>
        </w:rPr>
        <w:t>时业绩分值为满分。</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ascii="仿宋" w:hAnsi="仿宋" w:eastAsia="仿宋"/>
          <w:b/>
          <w:color w:val="auto"/>
          <w:sz w:val="24"/>
          <w:highlight w:val="none"/>
        </w:rPr>
      </w:pPr>
      <w:r>
        <w:rPr>
          <w:rFonts w:ascii="仿宋" w:hAnsi="仿宋" w:eastAsia="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 w:hAnsi="仿宋" w:eastAsia="仿宋"/>
          <w:color w:val="auto"/>
          <w:sz w:val="24"/>
          <w:highlight w:val="none"/>
        </w:rPr>
        <w:t>登录</w:t>
      </w:r>
      <w:r>
        <w:rPr>
          <w:rFonts w:ascii="仿宋" w:hAnsi="仿宋" w:eastAsia="仿宋"/>
          <w:color w:val="auto"/>
          <w:sz w:val="24"/>
          <w:highlight w:val="none"/>
        </w:rPr>
        <w:t>杭州市政府采购网“中小企业信用融资”模块，查看信用融资政策文件及各相关银行服务方案。</w:t>
      </w:r>
      <w:r>
        <w:rPr>
          <w:rFonts w:ascii="仿宋" w:hAnsi="仿宋" w:eastAsia="仿宋"/>
          <w:color w:val="auto"/>
          <w:sz w:val="24"/>
          <w:highlight w:val="none"/>
        </w:rPr>
        <w:cr/>
      </w:r>
      <w:r>
        <w:rPr>
          <w:rFonts w:ascii="仿宋" w:hAnsi="仿宋" w:eastAsia="仿宋"/>
          <w:b/>
          <w:color w:val="auto"/>
          <w:sz w:val="24"/>
          <w:highlight w:val="none"/>
        </w:rPr>
        <w:t xml:space="preserve">4. </w:t>
      </w:r>
      <w:r>
        <w:rPr>
          <w:rFonts w:hint="eastAsia" w:ascii="仿宋" w:hAnsi="仿宋" w:eastAsia="仿宋"/>
          <w:b/>
          <w:color w:val="auto"/>
          <w:sz w:val="24"/>
          <w:highlight w:val="none"/>
        </w:rPr>
        <w:t>询问、质疑、投诉</w:t>
      </w:r>
    </w:p>
    <w:p>
      <w:pPr>
        <w:autoSpaceDE w:val="0"/>
        <w:autoSpaceDN w:val="0"/>
        <w:spacing w:line="360" w:lineRule="auto"/>
        <w:ind w:firstLine="240" w:firstLineChars="100"/>
        <w:jc w:val="left"/>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4.1供应商询问</w:t>
      </w:r>
    </w:p>
    <w:p>
      <w:pPr>
        <w:autoSpaceDE w:val="0"/>
        <w:autoSpaceDN w:val="0"/>
        <w:spacing w:line="360" w:lineRule="auto"/>
        <w:ind w:firstLine="480" w:firstLineChars="200"/>
        <w:jc w:val="left"/>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供应商对政府采购活动事项有疑问的，可以提出询问，采购人或者采购代理机构应当在</w:t>
      </w:r>
      <w:r>
        <w:rPr>
          <w:rFonts w:ascii="仿宋" w:hAnsi="仿宋" w:eastAsia="仿宋" w:cs="微软雅黑"/>
          <w:color w:val="auto"/>
          <w:kern w:val="0"/>
          <w:sz w:val="24"/>
          <w:highlight w:val="none"/>
          <w:lang w:val="zh-CN"/>
        </w:rPr>
        <w:t>3个工作日内对供应</w:t>
      </w:r>
      <w:r>
        <w:rPr>
          <w:rFonts w:hint="eastAsia" w:ascii="仿宋" w:hAnsi="仿宋" w:eastAsia="仿宋"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4.2供应商质疑</w:t>
      </w:r>
    </w:p>
    <w:p>
      <w:pPr>
        <w:pStyle w:val="34"/>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ascii="仿宋" w:hAnsi="仿宋" w:eastAsia="仿宋"/>
          <w:snapToGrid/>
          <w:color w:val="auto"/>
          <w:kern w:val="2"/>
          <w:sz w:val="24"/>
          <w:highlight w:val="none"/>
        </w:rPr>
      </w:pPr>
      <w:r>
        <w:rPr>
          <w:rFonts w:ascii="仿宋" w:hAnsi="仿宋" w:eastAsia="仿宋"/>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4.2.2.3对采购结果提出质疑的，质疑期限自采购结果公告期限届满之日起计算。</w:t>
      </w:r>
    </w:p>
    <w:p>
      <w:pPr>
        <w:pStyle w:val="34"/>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w:t>
      </w:r>
      <w:r>
        <w:rPr>
          <w:rFonts w:hint="eastAsia" w:ascii="仿宋" w:hAnsi="仿宋" w:eastAsia="仿宋"/>
          <w:color w:val="auto"/>
          <w:sz w:val="24"/>
          <w:highlight w:val="none"/>
        </w:rPr>
        <w:t>供应商提出质疑应当提交质疑函和必要的证明材料。质疑函应当包括下列内容：</w:t>
      </w:r>
    </w:p>
    <w:p>
      <w:pPr>
        <w:pStyle w:val="34"/>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ascii="仿宋" w:hAnsi="仿宋" w:eastAsia="仿宋" w:cs="微软雅黑"/>
          <w:color w:val="auto"/>
          <w:kern w:val="0"/>
          <w:sz w:val="24"/>
          <w:highlight w:val="none"/>
          <w:lang w:val="zh-CN"/>
        </w:rPr>
        <w:t>4.2.3.1</w:t>
      </w:r>
      <w:r>
        <w:rPr>
          <w:rFonts w:hint="eastAsia" w:ascii="仿宋" w:hAnsi="仿宋" w:eastAsia="仿宋" w:cs="微软雅黑"/>
          <w:color w:val="auto"/>
          <w:kern w:val="0"/>
          <w:sz w:val="24"/>
          <w:highlight w:val="none"/>
          <w:lang w:val="zh-CN"/>
        </w:rPr>
        <w:t>供应商的姓名或者名称、地址、邮编、联系人及联系电话；</w:t>
      </w:r>
    </w:p>
    <w:p>
      <w:pPr>
        <w:pStyle w:val="34"/>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ascii="仿宋" w:hAnsi="仿宋" w:eastAsia="仿宋" w:cs="微软雅黑"/>
          <w:color w:val="auto"/>
          <w:kern w:val="0"/>
          <w:sz w:val="24"/>
          <w:highlight w:val="none"/>
          <w:lang w:val="zh-CN"/>
        </w:rPr>
        <w:t>4.2.3.2</w:t>
      </w:r>
      <w:r>
        <w:rPr>
          <w:rFonts w:hint="eastAsia" w:ascii="仿宋" w:hAnsi="仿宋" w:eastAsia="仿宋" w:cs="微软雅黑"/>
          <w:color w:val="auto"/>
          <w:kern w:val="0"/>
          <w:sz w:val="24"/>
          <w:highlight w:val="none"/>
          <w:lang w:val="zh-CN"/>
        </w:rPr>
        <w:t>质疑项目的名称、编号；</w:t>
      </w:r>
    </w:p>
    <w:p>
      <w:pPr>
        <w:pStyle w:val="34"/>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ascii="仿宋" w:hAnsi="仿宋" w:eastAsia="仿宋" w:cs="微软雅黑"/>
          <w:color w:val="auto"/>
          <w:kern w:val="0"/>
          <w:sz w:val="24"/>
          <w:highlight w:val="none"/>
          <w:lang w:val="zh-CN"/>
        </w:rPr>
        <w:t>4.2.3.3</w:t>
      </w:r>
      <w:r>
        <w:rPr>
          <w:rFonts w:hint="eastAsia" w:ascii="仿宋" w:hAnsi="仿宋" w:eastAsia="仿宋" w:cs="微软雅黑"/>
          <w:color w:val="auto"/>
          <w:kern w:val="0"/>
          <w:sz w:val="24"/>
          <w:highlight w:val="none"/>
          <w:lang w:val="zh-CN"/>
        </w:rPr>
        <w:t>具体、明确的质疑事项和与质疑事项相关的请求；</w:t>
      </w:r>
    </w:p>
    <w:p>
      <w:pPr>
        <w:pStyle w:val="34"/>
        <w:keepNext w:val="0"/>
        <w:keepLines w:val="0"/>
        <w:pageBreakBefore w:val="0"/>
        <w:kinsoku/>
        <w:wordWrap/>
        <w:overflowPunct/>
        <w:topLinePunct w:val="0"/>
        <w:autoSpaceDE/>
        <w:autoSpaceDN/>
        <w:bidi w:val="0"/>
        <w:spacing w:beforeAutospacing="0" w:line="360" w:lineRule="auto"/>
        <w:ind w:firstLine="480" w:firstLineChars="200"/>
        <w:textAlignment w:val="auto"/>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ascii="仿宋" w:hAnsi="仿宋" w:eastAsia="仿宋" w:cs="微软雅黑"/>
          <w:color w:val="auto"/>
          <w:kern w:val="0"/>
          <w:sz w:val="24"/>
          <w:highlight w:val="none"/>
          <w:lang w:val="zh-CN"/>
        </w:rPr>
        <w:t>4.2.3.4</w:t>
      </w:r>
      <w:r>
        <w:rPr>
          <w:rFonts w:hint="eastAsia" w:ascii="仿宋" w:hAnsi="仿宋" w:eastAsia="仿宋" w:cs="微软雅黑"/>
          <w:color w:val="auto"/>
          <w:kern w:val="0"/>
          <w:sz w:val="24"/>
          <w:highlight w:val="none"/>
          <w:lang w:val="zh-CN"/>
        </w:rPr>
        <w:t>事实依据；</w:t>
      </w:r>
    </w:p>
    <w:p>
      <w:pPr>
        <w:pStyle w:val="34"/>
        <w:keepNext w:val="0"/>
        <w:keepLines w:val="0"/>
        <w:pageBreakBefore w:val="0"/>
        <w:kinsoku/>
        <w:wordWrap/>
        <w:overflowPunct/>
        <w:topLinePunct w:val="0"/>
        <w:autoSpaceDE/>
        <w:autoSpaceDN/>
        <w:bidi w:val="0"/>
        <w:spacing w:beforeAutospacing="0" w:line="360" w:lineRule="auto"/>
        <w:ind w:firstLine="480" w:firstLineChars="200"/>
        <w:textAlignment w:val="auto"/>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ascii="仿宋" w:hAnsi="仿宋" w:eastAsia="仿宋" w:cs="微软雅黑"/>
          <w:color w:val="auto"/>
          <w:kern w:val="0"/>
          <w:sz w:val="24"/>
          <w:highlight w:val="none"/>
          <w:lang w:val="zh-CN"/>
        </w:rPr>
        <w:t>4.2.3.5</w:t>
      </w:r>
      <w:r>
        <w:rPr>
          <w:rFonts w:hint="eastAsia" w:ascii="仿宋" w:hAnsi="仿宋" w:eastAsia="仿宋" w:cs="微软雅黑"/>
          <w:color w:val="auto"/>
          <w:kern w:val="0"/>
          <w:sz w:val="24"/>
          <w:highlight w:val="none"/>
          <w:lang w:val="zh-CN"/>
        </w:rPr>
        <w:t>必要的法律依据；</w:t>
      </w:r>
    </w:p>
    <w:p>
      <w:pPr>
        <w:pStyle w:val="34"/>
        <w:keepNext w:val="0"/>
        <w:keepLines w:val="0"/>
        <w:pageBreakBefore w:val="0"/>
        <w:kinsoku/>
        <w:wordWrap/>
        <w:overflowPunct/>
        <w:topLinePunct w:val="0"/>
        <w:autoSpaceDE/>
        <w:autoSpaceDN/>
        <w:bidi w:val="0"/>
        <w:spacing w:beforeAutospacing="0" w:line="360" w:lineRule="auto"/>
        <w:ind w:firstLine="960" w:firstLineChars="400"/>
        <w:textAlignment w:val="auto"/>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4.2.3.6</w:t>
      </w:r>
      <w:r>
        <w:rPr>
          <w:rFonts w:hint="eastAsia" w:ascii="仿宋" w:hAnsi="仿宋" w:eastAsia="仿宋" w:cs="微软雅黑"/>
          <w:color w:val="auto"/>
          <w:kern w:val="0"/>
          <w:sz w:val="24"/>
          <w:highlight w:val="none"/>
          <w:lang w:val="zh-CN"/>
        </w:rPr>
        <w:t>提出质疑的日期。</w:t>
      </w:r>
    </w:p>
    <w:p>
      <w:pPr>
        <w:pStyle w:val="887"/>
        <w:keepNext w:val="0"/>
        <w:keepLines w:val="0"/>
        <w:pageBreakBefore w:val="0"/>
        <w:shd w:val="clear" w:color="auto" w:fill="FFFFFF"/>
        <w:kinsoku/>
        <w:wordWrap/>
        <w:overflowPunct/>
        <w:topLinePunct w:val="0"/>
        <w:autoSpaceDE/>
        <w:autoSpaceDN/>
        <w:bidi w:val="0"/>
        <w:snapToGrid w:val="0"/>
        <w:spacing w:before="0" w:beforeAutospacing="0" w:after="0" w:afterAutospacing="0" w:line="360" w:lineRule="auto"/>
        <w:ind w:firstLine="400"/>
        <w:contextualSpacing/>
        <w:textAlignment w:val="auto"/>
        <w:rPr>
          <w:rFonts w:ascii="仿宋" w:hAnsi="仿宋" w:eastAsia="仿宋"/>
          <w:color w:val="auto"/>
          <w:highlight w:val="none"/>
        </w:rPr>
      </w:pPr>
      <w:r>
        <w:rPr>
          <w:rFonts w:hint="eastAsia" w:ascii="仿宋" w:hAnsi="仿宋" w:eastAsia="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质疑函范本及制作说明详见附件</w:t>
      </w:r>
      <w:r>
        <w:rPr>
          <w:rFonts w:ascii="仿宋" w:hAnsi="仿宋" w:eastAsia="仿宋"/>
          <w:color w:val="auto"/>
          <w:highlight w:val="none"/>
        </w:rPr>
        <w:t>2。</w:t>
      </w:r>
    </w:p>
    <w:p>
      <w:pPr>
        <w:pStyle w:val="887"/>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.4</w:t>
      </w:r>
      <w:r>
        <w:rPr>
          <w:rFonts w:hint="eastAsia" w:ascii="仿宋" w:hAnsi="仿宋" w:eastAsia="仿宋"/>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olor w:val="auto"/>
          <w:highlight w:val="none"/>
        </w:rPr>
        <w:t>2021〕17号）,</w:t>
      </w:r>
      <w:r>
        <w:rPr>
          <w:rFonts w:hint="eastAsia" w:ascii="仿宋" w:hAnsi="仿宋" w:eastAsia="仿宋"/>
          <w:color w:val="auto"/>
          <w:highlight w:val="none"/>
        </w:rPr>
        <w:t>采购人或者采购机构在质疑回复后</w:t>
      </w:r>
      <w:r>
        <w:rPr>
          <w:rFonts w:ascii="仿宋" w:hAnsi="仿宋" w:eastAsia="仿宋"/>
          <w:color w:val="auto"/>
          <w:highlight w:val="none"/>
        </w:rPr>
        <w:t>5个工作日内，在浙江政府采购网的“其他公告”栏目公开质疑答复，答复内容应当完整。质疑</w:t>
      </w:r>
      <w:r>
        <w:rPr>
          <w:rFonts w:hint="eastAsia" w:ascii="仿宋" w:hAnsi="仿宋" w:eastAsia="仿宋"/>
          <w:color w:val="auto"/>
          <w:highlight w:val="none"/>
        </w:rPr>
        <w:t>函作为附件上传。</w:t>
      </w:r>
    </w:p>
    <w:p>
      <w:pPr>
        <w:pStyle w:val="887"/>
        <w:widowControl w:val="0"/>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.5询问或者质疑事项可能影响采购结果的，采购人应当暂停签订合同，已经签订合同的，应当中止履行合同。</w:t>
      </w:r>
    </w:p>
    <w:p>
      <w:pPr>
        <w:pStyle w:val="887"/>
        <w:widowControl w:val="0"/>
        <w:shd w:val="clear" w:color="auto" w:fill="FFFFFF"/>
        <w:snapToGrid w:val="0"/>
        <w:spacing w:after="240" w:afterAutospacing="0" w:line="360" w:lineRule="auto"/>
        <w:ind w:firstLine="240" w:firstLineChars="100"/>
        <w:contextualSpacing/>
        <w:rPr>
          <w:rFonts w:ascii="仿宋" w:hAnsi="仿宋" w:eastAsia="仿宋" w:cs="微软雅黑"/>
          <w:color w:val="auto"/>
          <w:highlight w:val="none"/>
          <w:lang w:val="zh-CN"/>
        </w:rPr>
      </w:pPr>
      <w:r>
        <w:rPr>
          <w:rFonts w:ascii="仿宋" w:hAnsi="仿宋" w:eastAsia="仿宋" w:cs="微软雅黑"/>
          <w:color w:val="auto"/>
          <w:highlight w:val="none"/>
          <w:lang w:val="zh-CN"/>
        </w:rPr>
        <w:t>4.3供应商投诉</w:t>
      </w:r>
    </w:p>
    <w:p>
      <w:pPr>
        <w:pStyle w:val="887"/>
        <w:widowControl w:val="0"/>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4.3.1质疑供应商对采购人、采购机构的答复不满意或者采购人、采购机构未在规定的时间内</w:t>
      </w:r>
      <w:r>
        <w:rPr>
          <w:rFonts w:hint="eastAsia" w:ascii="仿宋" w:hAnsi="仿宋" w:eastAsia="仿宋"/>
          <w:color w:val="auto"/>
          <w:highlight w:val="none"/>
        </w:rPr>
        <w:t>作出答复的，可以在答复期满后十五个工作日内向同级政府采购监督管理部门提出投诉。</w:t>
      </w:r>
    </w:p>
    <w:p>
      <w:pPr>
        <w:pStyle w:val="887"/>
        <w:widowControl w:val="0"/>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w:t>
      </w:r>
      <w:r>
        <w:rPr>
          <w:rFonts w:ascii="仿宋" w:hAnsi="仿宋" w:eastAsia="仿宋" w:cs="微软雅黑"/>
          <w:color w:val="auto"/>
          <w:highlight w:val="none"/>
          <w:lang w:val="zh-CN"/>
        </w:rPr>
        <w:t>2</w:t>
      </w:r>
      <w:r>
        <w:rPr>
          <w:rFonts w:hint="eastAsia" w:ascii="仿宋" w:hAnsi="仿宋" w:eastAsia="仿宋"/>
          <w:color w:val="auto"/>
          <w:highlight w:val="none"/>
        </w:rPr>
        <w:t>供应商投诉的事项不得超出已质疑事项的范围，基于质疑答复内容提出的投诉事项除外。</w:t>
      </w:r>
    </w:p>
    <w:p>
      <w:pPr>
        <w:pStyle w:val="887"/>
        <w:widowControl w:val="0"/>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4.3.3供应</w:t>
      </w:r>
      <w:r>
        <w:rPr>
          <w:rFonts w:hint="eastAsia" w:ascii="仿宋" w:hAnsi="仿宋" w:eastAsia="仿宋"/>
          <w:color w:val="auto"/>
          <w:highlight w:val="none"/>
        </w:rPr>
        <w:t>商投诉应当有明确的请求和必要的证明材料。</w:t>
      </w:r>
    </w:p>
    <w:p>
      <w:pPr>
        <w:pStyle w:val="887"/>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 xml:space="preserve">4.3.5 </w:t>
      </w:r>
      <w:r>
        <w:rPr>
          <w:rFonts w:hint="eastAsia" w:ascii="仿宋" w:hAnsi="仿宋" w:eastAsia="仿宋"/>
          <w:color w:val="auto"/>
          <w:highlight w:val="none"/>
        </w:rPr>
        <w:t>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投诉书范本及制作说明详见附件</w:t>
      </w:r>
      <w:r>
        <w:rPr>
          <w:rFonts w:ascii="仿宋" w:hAnsi="仿宋" w:eastAsia="仿宋"/>
          <w:color w:val="auto"/>
          <w:highlight w:val="none"/>
        </w:rPr>
        <w:t>3。</w:t>
      </w:r>
    </w:p>
    <w:p>
      <w:pPr>
        <w:adjustRightInd/>
        <w:spacing w:line="360" w:lineRule="auto"/>
        <w:jc w:val="center"/>
        <w:outlineLvl w:val="0"/>
        <w:rPr>
          <w:rFonts w:ascii="仿宋" w:hAnsi="仿宋" w:eastAsia="仿宋" w:cs="仿宋_GB2312"/>
          <w:b/>
          <w:color w:val="auto"/>
          <w:sz w:val="32"/>
          <w:szCs w:val="20"/>
          <w:highlight w:val="none"/>
        </w:rPr>
      </w:pPr>
      <w:r>
        <w:rPr>
          <w:rFonts w:ascii="仿宋" w:hAnsi="仿宋" w:eastAsia="仿宋" w:cs="仿宋_GB2312"/>
          <w:b/>
          <w:color w:val="auto"/>
          <w:sz w:val="32"/>
          <w:szCs w:val="20"/>
          <w:highlight w:val="none"/>
        </w:rPr>
        <w:t>二、招标文件的构成、澄清、修改</w:t>
      </w:r>
    </w:p>
    <w:p>
      <w:pPr>
        <w:pStyle w:val="34"/>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5．招标文件的构成</w:t>
      </w:r>
    </w:p>
    <w:p>
      <w:pPr>
        <w:pStyle w:val="34"/>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 xml:space="preserve">5.1 </w:t>
      </w:r>
      <w:r>
        <w:rPr>
          <w:rFonts w:hint="eastAsia" w:ascii="仿宋" w:hAnsi="仿宋" w:eastAsia="仿宋" w:cs="仿宋_GB2312"/>
          <w:color w:val="auto"/>
          <w:sz w:val="24"/>
          <w:szCs w:val="24"/>
          <w:highlight w:val="none"/>
        </w:rPr>
        <w:t>招标文件包括下列文件及附件：</w:t>
      </w:r>
    </w:p>
    <w:p>
      <w:pPr>
        <w:pStyle w:val="34"/>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5.1.1招标公告；</w:t>
      </w:r>
    </w:p>
    <w:p>
      <w:pPr>
        <w:pStyle w:val="34"/>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5.1.2投标人须知；</w:t>
      </w:r>
    </w:p>
    <w:p>
      <w:pPr>
        <w:pStyle w:val="34"/>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5.1.3采购需求；</w:t>
      </w:r>
    </w:p>
    <w:p>
      <w:pPr>
        <w:pStyle w:val="34"/>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5.1.4评标</w:t>
      </w:r>
      <w:r>
        <w:rPr>
          <w:rFonts w:hint="eastAsia" w:ascii="仿宋" w:hAnsi="仿宋" w:eastAsia="仿宋" w:cs="仿宋_GB2312"/>
          <w:color w:val="auto"/>
          <w:sz w:val="24"/>
          <w:szCs w:val="24"/>
          <w:highlight w:val="none"/>
        </w:rPr>
        <w:t>办</w:t>
      </w:r>
      <w:r>
        <w:rPr>
          <w:rFonts w:ascii="仿宋" w:hAnsi="仿宋" w:eastAsia="仿宋" w:cs="仿宋_GB2312"/>
          <w:color w:val="auto"/>
          <w:sz w:val="24"/>
          <w:szCs w:val="24"/>
          <w:highlight w:val="none"/>
        </w:rPr>
        <w:t>法；</w:t>
      </w:r>
    </w:p>
    <w:p>
      <w:pPr>
        <w:pStyle w:val="34"/>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5.1.5</w:t>
      </w:r>
      <w:r>
        <w:rPr>
          <w:rFonts w:hint="eastAsia" w:ascii="仿宋" w:hAnsi="仿宋" w:eastAsia="仿宋" w:cs="仿宋_GB2312"/>
          <w:color w:val="auto"/>
          <w:sz w:val="24"/>
          <w:szCs w:val="24"/>
          <w:highlight w:val="none"/>
        </w:rPr>
        <w:t>拟签订的合同文本；</w:t>
      </w:r>
    </w:p>
    <w:p>
      <w:pPr>
        <w:pStyle w:val="34"/>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highlight w:val="none"/>
        </w:rPr>
        <w:t>5.1.6</w:t>
      </w:r>
      <w:r>
        <w:rPr>
          <w:rFonts w:hint="eastAsia" w:ascii="仿宋" w:hAnsi="仿宋" w:eastAsia="仿宋" w:cs="仿宋_GB2312"/>
          <w:color w:val="auto"/>
          <w:sz w:val="24"/>
          <w:szCs w:val="24"/>
          <w:highlight w:val="none"/>
        </w:rPr>
        <w:t>应提交的有关格式范例。</w:t>
      </w:r>
    </w:p>
    <w:p>
      <w:pPr>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5.2与本项目有关的</w:t>
      </w:r>
      <w:r>
        <w:rPr>
          <w:rFonts w:hint="eastAsia" w:ascii="仿宋" w:hAnsi="仿宋" w:eastAsia="仿宋"/>
          <w:bCs/>
          <w:color w:val="auto"/>
          <w:sz w:val="24"/>
          <w:highlight w:val="none"/>
        </w:rPr>
        <w:t>澄清或者修改的内容为招标文件的组成部分</w:t>
      </w:r>
      <w:r>
        <w:rPr>
          <w:rFonts w:hint="eastAsia" w:ascii="仿宋" w:hAnsi="仿宋" w:eastAsia="仿宋" w:cs="仿宋_GB2312"/>
          <w:color w:val="auto"/>
          <w:sz w:val="24"/>
          <w:highlight w:val="none"/>
        </w:rPr>
        <w:t>。</w:t>
      </w:r>
    </w:p>
    <w:p>
      <w:pPr>
        <w:pStyle w:val="34"/>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6. </w:t>
      </w:r>
      <w:r>
        <w:rPr>
          <w:rFonts w:hint="eastAsia" w:ascii="仿宋" w:hAnsi="仿宋" w:eastAsia="仿宋" w:cs="仿宋_GB2312"/>
          <w:b/>
          <w:color w:val="auto"/>
          <w:sz w:val="24"/>
          <w:szCs w:val="24"/>
          <w:highlight w:val="none"/>
        </w:rPr>
        <w:t>招标文件的澄清、修改</w:t>
      </w:r>
    </w:p>
    <w:p>
      <w:pPr>
        <w:pStyle w:val="130"/>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6.1已获取招标文件的潜在投标人，若有问题需要澄清，应于投标截止时间前，以书面形式向采购机构提出。</w:t>
      </w:r>
    </w:p>
    <w:p>
      <w:pPr>
        <w:pStyle w:val="130"/>
        <w:snapToGrid w:val="0"/>
        <w:spacing w:before="0"/>
        <w:ind w:firstLine="480"/>
        <w:rPr>
          <w:rFonts w:ascii="仿宋" w:hAnsi="仿宋" w:eastAsia="仿宋"/>
          <w:color w:val="auto"/>
          <w:highlight w:val="none"/>
        </w:rPr>
      </w:pPr>
      <w:r>
        <w:rPr>
          <w:rFonts w:ascii="仿宋" w:hAnsi="仿宋" w:eastAsia="仿宋"/>
          <w:color w:val="auto"/>
          <w:highlight w:val="none"/>
        </w:rPr>
        <w:t xml:space="preserve">6.2 </w:t>
      </w:r>
      <w:r>
        <w:rPr>
          <w:rFonts w:hint="eastAsia" w:ascii="仿宋" w:hAnsi="仿宋" w:eastAsia="仿宋"/>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ascii="仿宋" w:hAnsi="仿宋" w:eastAsia="仿宋" w:cs="仿宋_GB2312"/>
          <w:color w:val="auto"/>
          <w:sz w:val="18"/>
          <w:szCs w:val="18"/>
          <w:highlight w:val="none"/>
          <w:lang w:val="en-US"/>
        </w:rPr>
      </w:pPr>
    </w:p>
    <w:p>
      <w:pPr>
        <w:adjustRightInd/>
        <w:spacing w:line="360" w:lineRule="auto"/>
        <w:jc w:val="center"/>
        <w:outlineLvl w:val="0"/>
        <w:rPr>
          <w:rFonts w:ascii="仿宋" w:hAnsi="仿宋" w:eastAsia="仿宋" w:cs="仿宋_GB2312"/>
          <w:b/>
          <w:color w:val="auto"/>
          <w:sz w:val="30"/>
          <w:szCs w:val="20"/>
          <w:highlight w:val="none"/>
        </w:rPr>
      </w:pPr>
      <w:r>
        <w:rPr>
          <w:rFonts w:hint="eastAsia" w:ascii="仿宋" w:hAnsi="仿宋" w:eastAsia="仿宋" w:cs="仿宋_GB2312"/>
          <w:b/>
          <w:color w:val="auto"/>
          <w:sz w:val="30"/>
          <w:szCs w:val="20"/>
          <w:highlight w:val="none"/>
        </w:rPr>
        <w:t>三、投标</w:t>
      </w:r>
    </w:p>
    <w:p>
      <w:pPr>
        <w:pStyle w:val="34"/>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7. </w:t>
      </w:r>
      <w:r>
        <w:rPr>
          <w:rFonts w:hint="eastAsia" w:ascii="仿宋" w:hAnsi="仿宋" w:eastAsia="仿宋" w:cs="仿宋_GB2312"/>
          <w:b/>
          <w:color w:val="auto"/>
          <w:sz w:val="24"/>
          <w:szCs w:val="24"/>
          <w:highlight w:val="none"/>
        </w:rPr>
        <w:t>招标文件的获取</w:t>
      </w:r>
    </w:p>
    <w:p>
      <w:pPr>
        <w:spacing w:line="360" w:lineRule="auto"/>
        <w:ind w:firstLine="480" w:firstLineChars="200"/>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详见招标公告中获取招标文件的时间期限、地点、方式及招标文件售价。</w:t>
      </w:r>
    </w:p>
    <w:p>
      <w:pPr>
        <w:pStyle w:val="34"/>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8.开标前答疑会或现场考察</w:t>
      </w:r>
    </w:p>
    <w:p>
      <w:pPr>
        <w:pStyle w:val="34"/>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_GB2312"/>
          <w:b/>
          <w:color w:val="auto"/>
          <w:szCs w:val="24"/>
          <w:highlight w:val="none"/>
        </w:rPr>
      </w:pPr>
      <w:r>
        <w:rPr>
          <w:rFonts w:ascii="仿宋" w:hAnsi="仿宋" w:eastAsia="仿宋"/>
          <w:b/>
          <w:color w:val="auto"/>
          <w:kern w:val="28"/>
          <w:sz w:val="24"/>
          <w:szCs w:val="24"/>
          <w:highlight w:val="none"/>
        </w:rPr>
        <w:t>9.投标保证金</w:t>
      </w:r>
    </w:p>
    <w:p>
      <w:pPr>
        <w:pStyle w:val="18"/>
        <w:spacing w:line="360" w:lineRule="auto"/>
        <w:ind w:firstLine="470" w:firstLineChars="196"/>
        <w:rPr>
          <w:rFonts w:ascii="仿宋" w:hAnsi="仿宋" w:eastAsia="仿宋" w:cs="仿宋_GB2312"/>
          <w:color w:val="auto"/>
          <w:sz w:val="24"/>
          <w:highlight w:val="none"/>
        </w:rPr>
      </w:pPr>
      <w:r>
        <w:rPr>
          <w:rFonts w:hint="eastAsia" w:ascii="仿宋" w:hAnsi="仿宋" w:eastAsia="仿宋" w:cs="仿宋_GB2312"/>
          <w:color w:val="auto"/>
          <w:sz w:val="24"/>
          <w:highlight w:val="none"/>
        </w:rPr>
        <w:t>本项目不需缴纳投标保证金。</w:t>
      </w:r>
    </w:p>
    <w:p>
      <w:pPr>
        <w:pStyle w:val="34"/>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10. </w:t>
      </w:r>
      <w:r>
        <w:rPr>
          <w:rFonts w:hint="eastAsia" w:ascii="仿宋" w:hAnsi="仿宋" w:eastAsia="仿宋" w:cs="仿宋_GB2312"/>
          <w:b/>
          <w:color w:val="auto"/>
          <w:sz w:val="24"/>
          <w:szCs w:val="24"/>
          <w:highlight w:val="none"/>
        </w:rPr>
        <w:t>投标文件的语言</w:t>
      </w:r>
    </w:p>
    <w:p>
      <w:pPr>
        <w:autoSpaceDE w:val="0"/>
        <w:autoSpaceDN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投标文件及投标人与采购有关的来往通知、函件和文件均应使用中文。</w:t>
      </w:r>
    </w:p>
    <w:p>
      <w:pPr>
        <w:pStyle w:val="34"/>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11. </w:t>
      </w:r>
      <w:r>
        <w:rPr>
          <w:rFonts w:hint="eastAsia" w:ascii="仿宋" w:hAnsi="仿宋" w:eastAsia="仿宋" w:cs="仿宋_GB2312"/>
          <w:b/>
          <w:color w:val="auto"/>
          <w:sz w:val="24"/>
          <w:szCs w:val="24"/>
          <w:highlight w:val="none"/>
        </w:rPr>
        <w:t>投标文件的组成</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11.1</w:t>
      </w:r>
      <w:r>
        <w:rPr>
          <w:rFonts w:hint="eastAsia" w:ascii="仿宋" w:hAnsi="仿宋" w:eastAsia="仿宋" w:cs="仿宋_GB2312"/>
          <w:b/>
          <w:color w:val="auto"/>
          <w:sz w:val="24"/>
          <w:highlight w:val="none"/>
        </w:rPr>
        <w:t>资格文件</w:t>
      </w:r>
      <w:r>
        <w:rPr>
          <w:rFonts w:hint="eastAsia" w:ascii="仿宋" w:hAnsi="仿宋" w:eastAsia="仿宋" w:cs="仿宋_GB2312"/>
          <w:color w:val="auto"/>
          <w:sz w:val="24"/>
          <w:highlight w:val="none"/>
        </w:rPr>
        <w:t>：</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11.1.</w:t>
      </w: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符合参加政府采购活动应当具备的一般条件的承诺函；</w:t>
      </w:r>
    </w:p>
    <w:p>
      <w:pPr>
        <w:snapToGrid w:val="0"/>
        <w:spacing w:line="360" w:lineRule="auto"/>
        <w:ind w:firstLine="960" w:firstLineChars="400"/>
        <w:rPr>
          <w:rFonts w:ascii="仿宋" w:hAnsi="仿宋" w:eastAsia="仿宋" w:cs="仿宋_GB2312"/>
          <w:color w:val="auto"/>
          <w:sz w:val="24"/>
          <w:highlight w:val="none"/>
        </w:rPr>
      </w:pPr>
      <w:r>
        <w:rPr>
          <w:rFonts w:hint="eastAsia" w:ascii="仿宋" w:hAnsi="仿宋" w:eastAsia="仿宋" w:cs="仿宋_GB2312"/>
          <w:color w:val="auto"/>
          <w:sz w:val="24"/>
          <w:highlight w:val="none"/>
        </w:rPr>
        <w:t>11.1.2落实政府采购政策需满足的资格要求；</w:t>
      </w:r>
    </w:p>
    <w:p>
      <w:pPr>
        <w:snapToGrid w:val="0"/>
        <w:spacing w:line="360" w:lineRule="auto"/>
        <w:ind w:firstLine="482" w:firstLineChars="200"/>
        <w:rPr>
          <w:rFonts w:ascii="仿宋" w:hAnsi="仿宋" w:eastAsia="仿宋" w:cs="仿宋_GB2312"/>
          <w:b/>
          <w:bCs/>
          <w:color w:val="auto"/>
          <w:sz w:val="24"/>
          <w:highlight w:val="none"/>
          <w:lang w:val="zh-CN"/>
        </w:rPr>
      </w:pPr>
      <w:r>
        <w:rPr>
          <w:rFonts w:ascii="仿宋" w:hAnsi="仿宋" w:eastAsia="仿宋" w:cs="仿宋_GB2312"/>
          <w:b/>
          <w:bCs/>
          <w:color w:val="auto"/>
          <w:sz w:val="24"/>
          <w:highlight w:val="none"/>
          <w:lang w:val="zh-CN"/>
        </w:rPr>
        <w:t>11.</w:t>
      </w:r>
      <w:r>
        <w:rPr>
          <w:rFonts w:ascii="仿宋" w:hAnsi="仿宋" w:eastAsia="仿宋" w:cs="仿宋_GB2312"/>
          <w:b/>
          <w:bCs/>
          <w:color w:val="auto"/>
          <w:sz w:val="24"/>
          <w:highlight w:val="none"/>
        </w:rPr>
        <w:t>2</w:t>
      </w:r>
      <w:r>
        <w:rPr>
          <w:rFonts w:hint="eastAsia" w:ascii="仿宋" w:hAnsi="仿宋" w:eastAsia="仿宋" w:cs="仿宋_GB2312"/>
          <w:b/>
          <w:bCs/>
          <w:color w:val="auto"/>
          <w:sz w:val="24"/>
          <w:highlight w:val="none"/>
        </w:rPr>
        <w:t>商务技术</w:t>
      </w:r>
      <w:r>
        <w:rPr>
          <w:rFonts w:hint="eastAsia" w:ascii="仿宋" w:hAnsi="仿宋" w:eastAsia="仿宋" w:cs="仿宋_GB2312"/>
          <w:b/>
          <w:bCs/>
          <w:color w:val="auto"/>
          <w:sz w:val="24"/>
          <w:highlight w:val="none"/>
          <w:lang w:val="zh-CN"/>
        </w:rPr>
        <w:t>文件：</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11.2.1投标函；</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11.2.3联合协议</w:t>
      </w:r>
      <w:r>
        <w:rPr>
          <w:rFonts w:hint="eastAsia" w:ascii="仿宋" w:hAnsi="仿宋" w:eastAsia="仿宋" w:cs="仿宋_GB2312"/>
          <w:color w:val="auto"/>
          <w:sz w:val="24"/>
          <w:highlight w:val="none"/>
        </w:rPr>
        <w:t>（如果有）</w:t>
      </w:r>
      <w:r>
        <w:rPr>
          <w:rFonts w:ascii="仿宋" w:hAnsi="仿宋" w:eastAsia="仿宋" w:cs="仿宋_GB2312"/>
          <w:color w:val="auto"/>
          <w:sz w:val="24"/>
          <w:highlight w:val="none"/>
        </w:rPr>
        <w:t xml:space="preserve">； </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11.2.4分包意向协议</w:t>
      </w:r>
      <w:r>
        <w:rPr>
          <w:rFonts w:hint="eastAsia" w:ascii="仿宋" w:hAnsi="仿宋" w:eastAsia="仿宋" w:cs="仿宋_GB2312"/>
          <w:color w:val="auto"/>
          <w:sz w:val="24"/>
          <w:highlight w:val="none"/>
        </w:rPr>
        <w:t>（如果有）</w:t>
      </w:r>
      <w:r>
        <w:rPr>
          <w:rFonts w:ascii="仿宋" w:hAnsi="仿宋" w:eastAsia="仿宋" w:cs="仿宋_GB2312"/>
          <w:color w:val="auto"/>
          <w:sz w:val="24"/>
          <w:highlight w:val="none"/>
        </w:rPr>
        <w:t xml:space="preserve">； </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11.2.5符合性审查资料；</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11.2.6评标标准相应的商务技术资料；</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11.2.7商务技术偏离表；</w:t>
      </w:r>
    </w:p>
    <w:p>
      <w:pPr>
        <w:snapToGrid w:val="0"/>
        <w:spacing w:line="360" w:lineRule="auto"/>
        <w:ind w:firstLine="960" w:firstLineChars="4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8</w:t>
      </w:r>
      <w:r>
        <w:rPr>
          <w:rFonts w:hint="eastAsia" w:ascii="仿宋" w:hAnsi="仿宋" w:eastAsia="仿宋" w:cs="仿宋_GB2312"/>
          <w:color w:val="auto"/>
          <w:sz w:val="24"/>
          <w:highlight w:val="none"/>
          <w:lang w:val="zh-CN"/>
        </w:rPr>
        <w:t>政府采购供应商廉洁自律承诺书；</w:t>
      </w:r>
    </w:p>
    <w:p>
      <w:pPr>
        <w:snapToGrid w:val="0"/>
        <w:spacing w:line="360" w:lineRule="auto"/>
        <w:ind w:firstLine="482" w:firstLineChars="200"/>
        <w:rPr>
          <w:rFonts w:ascii="仿宋" w:hAnsi="仿宋" w:eastAsia="仿宋" w:cs="仿宋_GB2312"/>
          <w:color w:val="auto"/>
          <w:sz w:val="24"/>
          <w:highlight w:val="none"/>
          <w:u w:val="single"/>
          <w:lang w:val="zh-CN"/>
        </w:rPr>
      </w:pPr>
      <w:r>
        <w:rPr>
          <w:rFonts w:ascii="仿宋" w:hAnsi="仿宋" w:eastAsia="仿宋" w:cs="仿宋_GB2312"/>
          <w:b/>
          <w:bCs/>
          <w:color w:val="auto"/>
          <w:kern w:val="0"/>
          <w:sz w:val="24"/>
          <w:highlight w:val="none"/>
          <w:lang w:val="zh-CN"/>
        </w:rPr>
        <w:t>11.</w:t>
      </w:r>
      <w:r>
        <w:rPr>
          <w:rFonts w:ascii="仿宋" w:hAnsi="仿宋" w:eastAsia="仿宋" w:cs="仿宋_GB2312"/>
          <w:b/>
          <w:bCs/>
          <w:color w:val="auto"/>
          <w:kern w:val="0"/>
          <w:sz w:val="24"/>
          <w:highlight w:val="none"/>
        </w:rPr>
        <w:t>3</w:t>
      </w:r>
      <w:r>
        <w:rPr>
          <w:rFonts w:hint="eastAsia" w:ascii="仿宋" w:hAnsi="仿宋" w:eastAsia="仿宋" w:cs="仿宋_GB2312"/>
          <w:b/>
          <w:color w:val="auto"/>
          <w:sz w:val="24"/>
          <w:highlight w:val="none"/>
        </w:rPr>
        <w:t>报价文件：</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11.3.1开标一览表（报价表）；</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11.3.2中小企业声明函</w:t>
      </w:r>
      <w:r>
        <w:rPr>
          <w:rFonts w:hint="eastAsia" w:ascii="仿宋" w:hAnsi="仿宋" w:eastAsia="仿宋" w:cs="仿宋_GB2312"/>
          <w:color w:val="auto"/>
          <w:sz w:val="24"/>
          <w:highlight w:val="none"/>
        </w:rPr>
        <w:t>；</w:t>
      </w:r>
    </w:p>
    <w:p>
      <w:pPr>
        <w:spacing w:line="360" w:lineRule="auto"/>
        <w:ind w:firstLine="723" w:firstLineChars="300"/>
        <w:rPr>
          <w:rFonts w:ascii="仿宋" w:hAnsi="仿宋" w:eastAsia="仿宋"/>
          <w:b/>
          <w:color w:val="auto"/>
          <w:sz w:val="24"/>
          <w:highlight w:val="none"/>
        </w:rPr>
      </w:pPr>
      <w:r>
        <w:rPr>
          <w:rFonts w:hint="eastAsia" w:ascii="仿宋" w:hAnsi="仿宋" w:eastAsia="仿宋"/>
          <w:b/>
          <w:color w:val="auto"/>
          <w:sz w:val="24"/>
          <w:highlight w:val="none"/>
        </w:rPr>
        <w:t>投标文件含有采购人不能接受的附加条件的，投标无效；</w:t>
      </w:r>
    </w:p>
    <w:p>
      <w:pPr>
        <w:spacing w:line="360" w:lineRule="auto"/>
        <w:ind w:firstLine="723" w:firstLineChars="300"/>
        <w:rPr>
          <w:rFonts w:ascii="仿宋" w:hAnsi="仿宋" w:eastAsia="仿宋" w:cs="仿宋_GB2312"/>
          <w:b/>
          <w:color w:val="auto"/>
          <w:sz w:val="24"/>
          <w:szCs w:val="21"/>
          <w:highlight w:val="none"/>
        </w:rPr>
      </w:pPr>
      <w:r>
        <w:rPr>
          <w:rFonts w:hint="eastAsia" w:ascii="仿宋" w:hAnsi="仿宋" w:eastAsia="仿宋"/>
          <w:b/>
          <w:color w:val="auto"/>
          <w:sz w:val="24"/>
          <w:highlight w:val="none"/>
        </w:rPr>
        <w:t>投标人提供虚假材料投标的，投标无效。</w:t>
      </w:r>
    </w:p>
    <w:p>
      <w:pPr>
        <w:pStyle w:val="130"/>
        <w:snapToGrid w:val="0"/>
        <w:spacing w:before="0"/>
        <w:ind w:firstLine="0" w:firstLineChars="0"/>
        <w:outlineLvl w:val="0"/>
        <w:rPr>
          <w:rFonts w:ascii="仿宋" w:hAnsi="仿宋" w:eastAsia="仿宋" w:cs="仿宋_GB2312"/>
          <w:b/>
          <w:color w:val="auto"/>
          <w:szCs w:val="24"/>
          <w:highlight w:val="none"/>
        </w:rPr>
      </w:pPr>
      <w:r>
        <w:rPr>
          <w:rFonts w:ascii="仿宋" w:hAnsi="仿宋" w:eastAsia="仿宋" w:cs="仿宋_GB2312"/>
          <w:b/>
          <w:color w:val="auto"/>
          <w:szCs w:val="24"/>
          <w:highlight w:val="none"/>
        </w:rPr>
        <w:t>12</w:t>
      </w:r>
      <w:r>
        <w:rPr>
          <w:rFonts w:ascii="仿宋" w:hAnsi="仿宋" w:eastAsia="仿宋" w:cs="仿宋_GB2312"/>
          <w:b/>
          <w:color w:val="auto"/>
          <w:kern w:val="0"/>
          <w:szCs w:val="24"/>
          <w:highlight w:val="none"/>
          <w:lang w:val="zh-CN"/>
        </w:rPr>
        <w:t xml:space="preserve">. </w:t>
      </w:r>
      <w:r>
        <w:rPr>
          <w:rFonts w:hint="eastAsia" w:ascii="仿宋" w:hAnsi="仿宋" w:eastAsia="仿宋" w:cs="仿宋_GB2312"/>
          <w:b/>
          <w:color w:val="auto"/>
          <w:szCs w:val="24"/>
          <w:highlight w:val="none"/>
        </w:rPr>
        <w:t>投标文件的编制</w:t>
      </w:r>
    </w:p>
    <w:p>
      <w:pPr>
        <w:spacing w:line="360" w:lineRule="auto"/>
        <w:ind w:firstLine="480" w:firstLineChars="200"/>
        <w:rPr>
          <w:rFonts w:ascii="仿宋" w:hAnsi="仿宋" w:eastAsia="仿宋" w:cs="仿宋_GB2312"/>
          <w:b/>
          <w:color w:val="auto"/>
          <w:sz w:val="24"/>
          <w:highlight w:val="none"/>
        </w:rPr>
      </w:pPr>
      <w:r>
        <w:rPr>
          <w:rFonts w:ascii="仿宋" w:hAnsi="仿宋" w:eastAsia="仿宋"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 w:hAnsi="仿宋" w:eastAsia="仿宋"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12.2投标人进行电子投标应安装客户端软件—“政</w:t>
      </w:r>
      <w:r>
        <w:rPr>
          <w:rFonts w:hint="eastAsia" w:ascii="仿宋" w:hAnsi="仿宋" w:eastAsia="仿宋"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12.3使用“政</w:t>
      </w:r>
      <w:r>
        <w:rPr>
          <w:rFonts w:hint="eastAsia" w:ascii="仿宋" w:hAnsi="仿宋" w:eastAsia="仿宋" w:cs="仿宋_GB2312"/>
          <w:color w:val="auto"/>
          <w:kern w:val="0"/>
          <w:sz w:val="24"/>
          <w:highlight w:val="none"/>
          <w:lang w:val="zh-CN"/>
        </w:rPr>
        <w:t>采云电子交易客户端”需要提前申领</w:t>
      </w:r>
      <w:r>
        <w:rPr>
          <w:rFonts w:ascii="仿宋" w:hAnsi="仿宋" w:eastAsia="仿宋"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 w:hAnsi="仿宋" w:eastAsia="仿宋"/>
          <w:b/>
          <w:color w:val="auto"/>
          <w:sz w:val="24"/>
          <w:highlight w:val="none"/>
        </w:rPr>
      </w:pPr>
      <w:r>
        <w:rPr>
          <w:rFonts w:ascii="仿宋" w:hAnsi="仿宋" w:eastAsia="仿宋"/>
          <w:b/>
          <w:color w:val="auto"/>
          <w:sz w:val="24"/>
          <w:highlight w:val="none"/>
        </w:rPr>
        <w:t>13.投标文件的签署、盖章</w:t>
      </w:r>
    </w:p>
    <w:p>
      <w:pPr>
        <w:pStyle w:val="130"/>
        <w:snapToGrid w:val="0"/>
        <w:spacing w:before="0"/>
        <w:ind w:firstLine="480"/>
        <w:rPr>
          <w:rFonts w:ascii="仿宋" w:hAnsi="仿宋" w:eastAsia="仿宋" w:cs="仿宋_GB2312"/>
          <w:b/>
          <w:color w:val="auto"/>
          <w:highlight w:val="none"/>
        </w:rPr>
      </w:pPr>
      <w:r>
        <w:rPr>
          <w:rFonts w:ascii="仿宋" w:hAnsi="仿宋" w:eastAsia="仿宋" w:cs="仿宋_GB2312"/>
          <w:color w:val="auto"/>
          <w:szCs w:val="24"/>
          <w:highlight w:val="none"/>
        </w:rPr>
        <w:t>13.1投标文件按照招标文件第六部分格式要</w:t>
      </w:r>
      <w:r>
        <w:rPr>
          <w:rFonts w:hint="eastAsia" w:ascii="仿宋" w:hAnsi="仿宋" w:eastAsia="仿宋" w:cs="仿宋_GB2312"/>
          <w:color w:val="auto"/>
          <w:highlight w:val="none"/>
        </w:rPr>
        <w:t>求进行签署、盖章。</w:t>
      </w:r>
      <w:r>
        <w:rPr>
          <w:rFonts w:hint="eastAsia" w:ascii="仿宋" w:hAnsi="仿宋" w:eastAsia="仿宋"/>
          <w:b/>
          <w:color w:val="auto"/>
          <w:highlight w:val="none"/>
        </w:rPr>
        <w:t>▲</w:t>
      </w:r>
      <w:r>
        <w:rPr>
          <w:rFonts w:hint="eastAsia" w:ascii="仿宋" w:hAnsi="仿宋" w:eastAsia="仿宋" w:cs="仿宋_GB2312"/>
          <w:b/>
          <w:color w:val="auto"/>
          <w:highlight w:val="none"/>
        </w:rPr>
        <w:t>投标人的投标文件未按照招标文件要求签署、盖章的，其投标无效</w:t>
      </w:r>
      <w:r>
        <w:rPr>
          <w:rFonts w:hint="eastAsia" w:ascii="仿宋" w:hAnsi="仿宋" w:eastAsia="仿宋" w:cs="仿宋_GB2312"/>
          <w:color w:val="auto"/>
          <w:szCs w:val="24"/>
          <w:highlight w:val="none"/>
        </w:rPr>
        <w:t>。</w:t>
      </w:r>
    </w:p>
    <w:p>
      <w:pPr>
        <w:pStyle w:val="130"/>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仿宋" w:hAnsi="仿宋" w:eastAsia="仿宋" w:cs="仿宋_GB2312"/>
          <w:color w:val="auto"/>
          <w:szCs w:val="24"/>
          <w:highlight w:val="none"/>
        </w:rPr>
      </w:pPr>
      <w:r>
        <w:rPr>
          <w:rFonts w:ascii="仿宋" w:hAnsi="仿宋" w:eastAsia="仿宋" w:cs="仿宋_GB2312"/>
          <w:color w:val="auto"/>
          <w:highlight w:val="none"/>
        </w:rPr>
        <w:t>13.3招标文件对投标文件签署、盖章的要求适用于电子签名。</w:t>
      </w:r>
    </w:p>
    <w:p>
      <w:pPr>
        <w:pStyle w:val="13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 xml:space="preserve">14. </w:t>
      </w:r>
      <w:r>
        <w:rPr>
          <w:rFonts w:hint="eastAsia" w:ascii="仿宋" w:hAnsi="仿宋" w:eastAsia="仿宋" w:cs="仿宋_GB2312"/>
          <w:b/>
          <w:color w:val="auto"/>
          <w:szCs w:val="24"/>
          <w:highlight w:val="none"/>
        </w:rPr>
        <w:t>投标文件的提交、补充、修改、撤回</w:t>
      </w:r>
    </w:p>
    <w:p>
      <w:pPr>
        <w:pStyle w:val="13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 xml:space="preserve">14.1 </w:t>
      </w:r>
      <w:r>
        <w:rPr>
          <w:rFonts w:hint="eastAsia" w:ascii="仿宋" w:hAnsi="仿宋" w:eastAsia="仿宋"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15.备份投标文件</w:t>
      </w:r>
    </w:p>
    <w:p>
      <w:pPr>
        <w:pStyle w:val="34"/>
        <w:spacing w:line="360" w:lineRule="auto"/>
        <w:ind w:firstLine="360" w:firstLineChars="15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_GB2312"/>
          <w:b/>
          <w:color w:val="auto"/>
          <w:sz w:val="24"/>
          <w:szCs w:val="24"/>
          <w:highlight w:val="none"/>
        </w:rPr>
        <w:t>但采购人、采购机构不强制或变相强制投标人提交备份投标文件。</w:t>
      </w:r>
    </w:p>
    <w:p>
      <w:pPr>
        <w:pStyle w:val="34"/>
        <w:spacing w:line="360" w:lineRule="auto"/>
        <w:ind w:firstLine="480" w:firstLineChars="20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15.2备份投标文件须在“政</w:t>
      </w:r>
      <w:r>
        <w:rPr>
          <w:rFonts w:hint="eastAsia" w:ascii="仿宋" w:hAnsi="仿宋" w:eastAsia="仿宋" w:cs="仿宋_GB2312"/>
          <w:color w:val="auto"/>
          <w:sz w:val="24"/>
          <w:szCs w:val="24"/>
          <w:highlight w:val="none"/>
        </w:rPr>
        <w:t>采云投标客户端”制作生成，并储存在</w:t>
      </w:r>
      <w:r>
        <w:rPr>
          <w:rFonts w:ascii="仿宋" w:hAnsi="仿宋" w:eastAsia="仿宋"/>
          <w:color w:val="auto"/>
          <w:sz w:val="24"/>
          <w:highlight w:val="none"/>
        </w:rPr>
        <w:t>DVD光盘</w:t>
      </w:r>
      <w:r>
        <w:rPr>
          <w:rFonts w:hint="eastAsia" w:ascii="仿宋" w:hAnsi="仿宋" w:eastAsia="仿宋"/>
          <w:color w:val="auto"/>
          <w:sz w:val="24"/>
          <w:highlight w:val="none"/>
        </w:rPr>
        <w:t>或U盘</w:t>
      </w:r>
      <w:r>
        <w:rPr>
          <w:rFonts w:hint="eastAsia" w:ascii="仿宋" w:hAnsi="仿宋" w:eastAsia="仿宋" w:cs="仿宋_GB2312"/>
          <w:color w:val="auto"/>
          <w:sz w:val="24"/>
          <w:szCs w:val="24"/>
          <w:highlight w:val="none"/>
        </w:rPr>
        <w:t>中。备份投标文件应当密封包装并在包装上加盖公章并注明投标项目名称，投标人名称</w:t>
      </w:r>
      <w:r>
        <w:rPr>
          <w:rFonts w:ascii="仿宋" w:hAnsi="仿宋" w:eastAsia="仿宋" w:cs="仿宋_GB2312"/>
          <w:color w:val="auto"/>
          <w:sz w:val="24"/>
          <w:szCs w:val="24"/>
          <w:highlight w:val="none"/>
        </w:rPr>
        <w:t>(联合体投标的，包装物封面需注明联合体投标，并注明联合体成员各方的名称和联合协议中约定的牵头人的名称)。</w:t>
      </w:r>
      <w:r>
        <w:rPr>
          <w:rFonts w:hint="eastAsia" w:ascii="仿宋" w:hAnsi="仿宋" w:eastAsia="仿宋"/>
          <w:b/>
          <w:color w:val="auto"/>
          <w:sz w:val="24"/>
          <w:highlight w:val="none"/>
        </w:rPr>
        <w:t>不符合上述制作、</w:t>
      </w:r>
      <w:r>
        <w:rPr>
          <w:rFonts w:hint="eastAsia" w:ascii="仿宋" w:hAnsi="仿宋" w:eastAsia="仿宋" w:cs="仿宋_GB2312"/>
          <w:b/>
          <w:color w:val="auto"/>
          <w:sz w:val="24"/>
          <w:szCs w:val="24"/>
          <w:highlight w:val="none"/>
        </w:rPr>
        <w:t>存储、密封规定的备份投标文件将被视为无效或者被拒绝接收。</w:t>
      </w:r>
    </w:p>
    <w:p>
      <w:pPr>
        <w:pStyle w:val="34"/>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_GB2312"/>
          <w:snapToGrid/>
          <w:color w:val="auto"/>
          <w:sz w:val="24"/>
          <w:szCs w:val="24"/>
          <w:highlight w:val="none"/>
        </w:rPr>
        <w:t>招标文件第二部分投标人须知前附表规定的备份投标文件送达地点；</w:t>
      </w:r>
      <w:r>
        <w:rPr>
          <w:rFonts w:hint="eastAsia" w:ascii="仿宋" w:hAnsi="仿宋" w:eastAsia="仿宋" w:cs="仿宋_GB2312"/>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15.5投标人仅提交备份投标文件，没有在电子交易平台传输递交投标文件的，投标无效。</w:t>
      </w:r>
    </w:p>
    <w:p>
      <w:pPr>
        <w:pStyle w:val="13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16.投标文件的无效处理</w:t>
      </w:r>
    </w:p>
    <w:p>
      <w:pPr>
        <w:pStyle w:val="6"/>
        <w:spacing w:line="360" w:lineRule="auto"/>
        <w:ind w:firstLine="360" w:firstLineChars="150"/>
        <w:rPr>
          <w:rFonts w:ascii="仿宋" w:hAnsi="仿宋" w:eastAsia="仿宋" w:cs="仿宋_GB2312"/>
          <w:color w:val="auto"/>
          <w:szCs w:val="21"/>
          <w:highlight w:val="none"/>
        </w:rPr>
      </w:pPr>
      <w:r>
        <w:rPr>
          <w:rFonts w:hint="eastAsia" w:ascii="仿宋" w:hAnsi="仿宋" w:eastAsia="仿宋" w:cs="仿宋_GB2312"/>
          <w:color w:val="auto"/>
          <w:szCs w:val="21"/>
          <w:highlight w:val="none"/>
        </w:rPr>
        <w:t>有招标文件第四部分</w:t>
      </w:r>
      <w:r>
        <w:rPr>
          <w:rFonts w:hint="eastAsia" w:ascii="仿宋" w:hAnsi="仿宋" w:eastAsia="仿宋"/>
          <w:color w:val="auto"/>
          <w:highlight w:val="none"/>
        </w:rPr>
        <w:t>第</w:t>
      </w:r>
      <w:r>
        <w:rPr>
          <w:rFonts w:ascii="仿宋" w:hAnsi="仿宋" w:eastAsia="仿宋"/>
          <w:color w:val="auto"/>
          <w:highlight w:val="none"/>
        </w:rPr>
        <w:t>13项规定</w:t>
      </w:r>
      <w:r>
        <w:rPr>
          <w:rFonts w:hint="eastAsia" w:ascii="仿宋" w:hAnsi="仿宋" w:eastAsia="仿宋" w:cs="仿宋_GB2312"/>
          <w:color w:val="auto"/>
          <w:szCs w:val="21"/>
          <w:highlight w:val="none"/>
        </w:rPr>
        <w:t>的情形之一的，投标无效：</w:t>
      </w:r>
    </w:p>
    <w:p>
      <w:pPr>
        <w:pStyle w:val="13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17.投标有效期</w:t>
      </w:r>
    </w:p>
    <w:p>
      <w:pPr>
        <w:spacing w:line="360" w:lineRule="auto"/>
        <w:ind w:firstLine="480" w:firstLineChars="200"/>
        <w:rPr>
          <w:rFonts w:ascii="仿宋" w:hAnsi="仿宋" w:eastAsia="仿宋" w:cs="仿宋_GB2312"/>
          <w:b/>
          <w:color w:val="auto"/>
          <w:sz w:val="24"/>
          <w:szCs w:val="21"/>
          <w:highlight w:val="none"/>
        </w:rPr>
      </w:pPr>
      <w:r>
        <w:rPr>
          <w:rFonts w:ascii="仿宋" w:hAnsi="仿宋" w:eastAsia="仿宋" w:cs="仿宋_GB2312"/>
          <w:color w:val="auto"/>
          <w:sz w:val="24"/>
          <w:szCs w:val="20"/>
          <w:highlight w:val="none"/>
        </w:rPr>
        <w:t>17.1投标有效期为从提交投标文件的截止之日起90天。▲</w:t>
      </w:r>
      <w:r>
        <w:rPr>
          <w:rFonts w:hint="eastAsia" w:ascii="仿宋" w:hAnsi="仿宋" w:eastAsia="仿宋" w:cs="仿宋_GB2312"/>
          <w:b/>
          <w:color w:val="auto"/>
          <w:sz w:val="24"/>
          <w:szCs w:val="20"/>
          <w:highlight w:val="none"/>
        </w:rPr>
        <w:t>投标人的投标文件中承</w:t>
      </w:r>
      <w:r>
        <w:rPr>
          <w:rFonts w:hint="eastAsia" w:ascii="仿宋" w:hAnsi="仿宋" w:eastAsia="仿宋" w:cs="仿宋_GB2312"/>
          <w:b/>
          <w:color w:val="auto"/>
          <w:sz w:val="24"/>
          <w:szCs w:val="21"/>
          <w:highlight w:val="none"/>
        </w:rPr>
        <w:t>诺的投标有效期少于招标文件中载明的投标有效期的，投标无效。</w:t>
      </w:r>
    </w:p>
    <w:p>
      <w:pPr>
        <w:pStyle w:val="130"/>
        <w:spacing w:before="0"/>
        <w:ind w:firstLine="480"/>
        <w:rPr>
          <w:rFonts w:ascii="仿宋" w:hAnsi="仿宋" w:eastAsia="仿宋" w:cs="仿宋_GB2312"/>
          <w:color w:val="auto"/>
          <w:highlight w:val="none"/>
        </w:rPr>
      </w:pPr>
      <w:r>
        <w:rPr>
          <w:rFonts w:ascii="仿宋" w:hAnsi="仿宋" w:eastAsia="仿宋" w:cs="仿宋_GB2312"/>
          <w:color w:val="auto"/>
          <w:highlight w:val="none"/>
        </w:rPr>
        <w:t>17.2投标文件合格投递后，自投标截止日期起，在投标有效期内有效。</w:t>
      </w:r>
    </w:p>
    <w:p>
      <w:pPr>
        <w:pStyle w:val="130"/>
        <w:spacing w:before="0"/>
        <w:ind w:firstLine="480"/>
        <w:rPr>
          <w:rFonts w:ascii="仿宋" w:hAnsi="仿宋" w:eastAsia="仿宋" w:cs="仿宋_GB2312"/>
          <w:color w:val="auto"/>
          <w:highlight w:val="none"/>
        </w:rPr>
      </w:pPr>
      <w:r>
        <w:rPr>
          <w:rFonts w:ascii="仿宋" w:hAnsi="仿宋" w:eastAsia="仿宋"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ascii="仿宋" w:hAnsi="仿宋" w:eastAsia="仿宋" w:cs="仿宋_GB2312"/>
          <w:b/>
          <w:color w:val="auto"/>
          <w:sz w:val="32"/>
          <w:highlight w:val="none"/>
        </w:rPr>
      </w:pPr>
    </w:p>
    <w:p>
      <w:pPr>
        <w:pStyle w:val="130"/>
        <w:spacing w:before="0"/>
        <w:ind w:firstLine="1928" w:firstLineChars="600"/>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四、开标、资格审查与信用信息查询</w:t>
      </w:r>
    </w:p>
    <w:p>
      <w:pPr>
        <w:pStyle w:val="556"/>
        <w:keepNext w:val="0"/>
        <w:keepLines w:val="0"/>
        <w:pageBreakBefore w:val="0"/>
        <w:kinsoku/>
        <w:wordWrap/>
        <w:overflowPunct/>
        <w:topLinePunct w:val="0"/>
        <w:bidi w:val="0"/>
        <w:adjustRightInd w:val="0"/>
        <w:spacing w:before="0" w:beforeAutospacing="0" w:line="360" w:lineRule="auto"/>
        <w:ind w:left="0" w:firstLine="241" w:firstLineChars="100"/>
        <w:contextualSpacing/>
        <w:textAlignment w:val="auto"/>
        <w:rPr>
          <w:rFonts w:ascii="仿宋" w:hAnsi="仿宋" w:eastAsia="仿宋"/>
          <w:color w:val="auto"/>
          <w:sz w:val="24"/>
          <w:highlight w:val="none"/>
        </w:rPr>
      </w:pPr>
      <w:r>
        <w:rPr>
          <w:rFonts w:ascii="仿宋" w:hAnsi="仿宋" w:eastAsia="仿宋" w:cs="仿宋_GB2312"/>
          <w:b/>
          <w:color w:val="auto"/>
          <w:sz w:val="24"/>
          <w:szCs w:val="24"/>
          <w:highlight w:val="none"/>
        </w:rPr>
        <w:t>18.开标</w:t>
      </w:r>
    </w:p>
    <w:p>
      <w:pPr>
        <w:pStyle w:val="556"/>
        <w:keepNext w:val="0"/>
        <w:keepLines w:val="0"/>
        <w:pageBreakBefore w:val="0"/>
        <w:kinsoku/>
        <w:wordWrap/>
        <w:overflowPunct/>
        <w:topLinePunct w:val="0"/>
        <w:bidi w:val="0"/>
        <w:adjustRightInd w:val="0"/>
        <w:spacing w:before="0" w:beforeAutospacing="0" w:line="360" w:lineRule="auto"/>
        <w:ind w:left="0" w:firstLine="480" w:firstLineChars="200"/>
        <w:contextualSpacing/>
        <w:textAlignment w:val="auto"/>
        <w:rPr>
          <w:rFonts w:ascii="仿宋" w:hAnsi="仿宋" w:eastAsia="仿宋" w:cs="仿宋_GB2312"/>
          <w:color w:val="auto"/>
          <w:sz w:val="24"/>
          <w:highlight w:val="none"/>
        </w:rPr>
      </w:pPr>
      <w:r>
        <w:rPr>
          <w:rFonts w:ascii="仿宋" w:hAnsi="仿宋" w:eastAsia="仿宋" w:cs="仿宋_GB2312"/>
          <w:color w:val="auto"/>
          <w:sz w:val="24"/>
          <w:highlight w:val="none"/>
        </w:rPr>
        <w:t>18.1采购机构按照招标文件规定的时间通过电子交易平台组织开标，所有投标人均应当准时在线参加。投标人不足3家的，不得开标。</w:t>
      </w:r>
    </w:p>
    <w:p>
      <w:pPr>
        <w:pStyle w:val="556"/>
        <w:keepNext w:val="0"/>
        <w:keepLines w:val="0"/>
        <w:pageBreakBefore w:val="0"/>
        <w:kinsoku/>
        <w:wordWrap/>
        <w:overflowPunct/>
        <w:topLinePunct w:val="0"/>
        <w:bidi w:val="0"/>
        <w:adjustRightInd w:val="0"/>
        <w:spacing w:before="0" w:beforeAutospacing="0" w:line="360" w:lineRule="auto"/>
        <w:ind w:left="0" w:firstLine="240" w:firstLineChars="100"/>
        <w:contextualSpacing/>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　</w:t>
      </w:r>
      <w:r>
        <w:rPr>
          <w:rFonts w:ascii="仿宋" w:hAnsi="仿宋" w:eastAsia="仿宋"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6"/>
        <w:keepNext w:val="0"/>
        <w:keepLines w:val="0"/>
        <w:pageBreakBefore w:val="0"/>
        <w:kinsoku/>
        <w:wordWrap/>
        <w:overflowPunct/>
        <w:topLinePunct w:val="0"/>
        <w:bidi w:val="0"/>
        <w:adjustRightInd w:val="0"/>
        <w:spacing w:before="0" w:beforeAutospacing="0" w:line="360" w:lineRule="auto"/>
        <w:ind w:left="0" w:firstLine="240" w:firstLineChars="100"/>
        <w:contextualSpacing/>
        <w:textAlignment w:val="auto"/>
        <w:rPr>
          <w:rFonts w:ascii="仿宋" w:hAnsi="仿宋" w:eastAsia="仿宋" w:cs="仿宋_GB2312"/>
          <w:b/>
          <w:color w:val="auto"/>
          <w:sz w:val="24"/>
          <w:highlight w:val="none"/>
        </w:rPr>
      </w:pPr>
      <w:r>
        <w:rPr>
          <w:rFonts w:hint="eastAsia" w:ascii="仿宋" w:hAnsi="仿宋" w:eastAsia="仿宋" w:cs="仿宋_GB2312"/>
          <w:color w:val="auto"/>
          <w:sz w:val="24"/>
          <w:highlight w:val="none"/>
        </w:rPr>
        <w:t>　</w:t>
      </w:r>
      <w:r>
        <w:rPr>
          <w:rFonts w:ascii="仿宋" w:hAnsi="仿宋" w:eastAsia="仿宋" w:cs="仿宋_GB2312"/>
          <w:color w:val="auto"/>
          <w:sz w:val="24"/>
          <w:highlight w:val="none"/>
        </w:rPr>
        <w:t>18.3</w:t>
      </w:r>
      <w:r>
        <w:rPr>
          <w:rFonts w:hint="eastAsia" w:ascii="仿宋" w:hAnsi="仿宋" w:eastAsia="仿宋"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pacing w:beforeAutospacing="0" w:line="360" w:lineRule="auto"/>
        <w:jc w:val="left"/>
        <w:textAlignment w:val="auto"/>
        <w:rPr>
          <w:rFonts w:ascii="仿宋" w:hAnsi="仿宋" w:eastAsia="仿宋" w:cs="仿宋_GB2312"/>
          <w:b/>
          <w:color w:val="auto"/>
          <w:sz w:val="24"/>
          <w:szCs w:val="20"/>
          <w:highlight w:val="none"/>
        </w:rPr>
      </w:pPr>
      <w:r>
        <w:rPr>
          <w:rFonts w:hint="eastAsia" w:ascii="仿宋" w:hAnsi="仿宋" w:eastAsia="仿宋" w:cs="仿宋_GB2312"/>
          <w:b/>
          <w:color w:val="auto"/>
          <w:sz w:val="24"/>
          <w:szCs w:val="20"/>
          <w:highlight w:val="none"/>
        </w:rPr>
        <w:t>　</w:t>
      </w:r>
      <w:r>
        <w:rPr>
          <w:rFonts w:ascii="仿宋" w:hAnsi="仿宋" w:eastAsia="仿宋" w:cs="仿宋_GB2312"/>
          <w:b/>
          <w:color w:val="auto"/>
          <w:sz w:val="24"/>
          <w:szCs w:val="20"/>
          <w:highlight w:val="none"/>
        </w:rPr>
        <w:t>19、资格审查</w:t>
      </w:r>
    </w:p>
    <w:p>
      <w:pPr>
        <w:pStyle w:val="130"/>
        <w:keepNext w:val="0"/>
        <w:keepLines w:val="0"/>
        <w:pageBreakBefore w:val="0"/>
        <w:kinsoku/>
        <w:wordWrap/>
        <w:overflowPunct/>
        <w:topLinePunct w:val="0"/>
        <w:bidi w:val="0"/>
        <w:adjustRightInd w:val="0"/>
        <w:spacing w:before="0" w:beforeAutospacing="0"/>
        <w:ind w:firstLine="480"/>
        <w:textAlignment w:val="auto"/>
        <w:rPr>
          <w:rFonts w:ascii="仿宋" w:hAnsi="仿宋" w:eastAsia="仿宋" w:cs="Arial"/>
          <w:color w:val="auto"/>
          <w:kern w:val="0"/>
          <w:szCs w:val="24"/>
          <w:highlight w:val="none"/>
        </w:rPr>
      </w:pPr>
      <w:r>
        <w:rPr>
          <w:rFonts w:ascii="仿宋" w:hAnsi="仿宋" w:eastAsia="仿宋" w:cs="Arial"/>
          <w:color w:val="auto"/>
          <w:kern w:val="0"/>
          <w:szCs w:val="24"/>
          <w:highlight w:val="none"/>
        </w:rPr>
        <w:t>19.1开标后，采购人或采购机构将依法对投标人的资格进行审查。</w:t>
      </w:r>
    </w:p>
    <w:p>
      <w:pPr>
        <w:keepNext w:val="0"/>
        <w:keepLines w:val="0"/>
        <w:pageBreakBefore w:val="0"/>
        <w:kinsoku/>
        <w:wordWrap/>
        <w:overflowPunct/>
        <w:topLinePunct w:val="0"/>
        <w:bidi w:val="0"/>
        <w:adjustRightInd w:val="0"/>
        <w:snapToGrid w:val="0"/>
        <w:spacing w:beforeAutospacing="0" w:line="360" w:lineRule="auto"/>
        <w:ind w:firstLine="480" w:firstLineChars="200"/>
        <w:textAlignment w:val="auto"/>
        <w:rPr>
          <w:rFonts w:ascii="仿宋" w:hAnsi="仿宋" w:eastAsia="仿宋" w:cs="仿宋_GB2312"/>
          <w:color w:val="auto"/>
          <w:sz w:val="24"/>
          <w:highlight w:val="none"/>
        </w:rPr>
      </w:pPr>
      <w:r>
        <w:rPr>
          <w:rFonts w:ascii="仿宋" w:hAnsi="仿宋" w:eastAsia="仿宋" w:cs="Arial"/>
          <w:color w:val="auto"/>
          <w:kern w:val="0"/>
          <w:sz w:val="24"/>
          <w:highlight w:val="none"/>
        </w:rPr>
        <w:t>19.2</w:t>
      </w:r>
      <w:r>
        <w:rPr>
          <w:rFonts w:hint="eastAsia" w:ascii="仿宋" w:hAnsi="仿宋" w:eastAsia="仿宋" w:cs="仿宋_GB2312"/>
          <w:color w:val="auto"/>
          <w:sz w:val="24"/>
          <w:highlight w:val="none"/>
        </w:rPr>
        <w:t>采购人或采购机构依据法律法规和招标文件的规定，对投标人的基本资格条件、特定资格条件进行审查。</w:t>
      </w:r>
    </w:p>
    <w:p>
      <w:pPr>
        <w:pStyle w:val="130"/>
        <w:keepNext w:val="0"/>
        <w:keepLines w:val="0"/>
        <w:pageBreakBefore w:val="0"/>
        <w:kinsoku/>
        <w:wordWrap/>
        <w:overflowPunct/>
        <w:topLinePunct w:val="0"/>
        <w:bidi w:val="0"/>
        <w:adjustRightInd w:val="0"/>
        <w:spacing w:before="0" w:beforeAutospacing="0"/>
        <w:ind w:firstLine="480"/>
        <w:textAlignment w:val="auto"/>
        <w:rPr>
          <w:rFonts w:ascii="仿宋" w:hAnsi="仿宋" w:eastAsia="仿宋" w:cs="仿宋_GB2312"/>
          <w:color w:val="auto"/>
          <w:highlight w:val="none"/>
        </w:rPr>
      </w:pPr>
      <w:r>
        <w:rPr>
          <w:rFonts w:ascii="仿宋" w:hAnsi="仿宋" w:eastAsia="仿宋" w:cs="Arial"/>
          <w:color w:val="auto"/>
          <w:kern w:val="0"/>
          <w:szCs w:val="24"/>
          <w:highlight w:val="none"/>
        </w:rPr>
        <w:t>19.3投标人未按照招标文件要求提供与</w:t>
      </w:r>
      <w:r>
        <w:rPr>
          <w:rFonts w:hint="eastAsia" w:ascii="仿宋" w:hAnsi="仿宋" w:eastAsia="仿宋" w:cs="仿宋_GB2312"/>
          <w:color w:val="auto"/>
          <w:highlight w:val="none"/>
        </w:rPr>
        <w:t>基本资格条件、特定资格条件相应的</w:t>
      </w:r>
      <w:r>
        <w:rPr>
          <w:rFonts w:hint="eastAsia" w:ascii="仿宋" w:hAnsi="仿宋" w:eastAsia="仿宋" w:cs="Arial"/>
          <w:color w:val="auto"/>
          <w:kern w:val="0"/>
          <w:szCs w:val="24"/>
          <w:highlight w:val="none"/>
        </w:rPr>
        <w:t>有效资格证明材料的，视为</w:t>
      </w:r>
      <w:r>
        <w:rPr>
          <w:rFonts w:hint="eastAsia" w:ascii="仿宋" w:hAnsi="仿宋" w:eastAsia="仿宋" w:cs="仿宋_GB2312"/>
          <w:color w:val="auto"/>
          <w:highlight w:val="none"/>
        </w:rPr>
        <w:t>投标人不具备招标文件中规定的资格要求，其投标无效。</w:t>
      </w:r>
    </w:p>
    <w:p>
      <w:pPr>
        <w:pStyle w:val="130"/>
        <w:keepNext w:val="0"/>
        <w:keepLines w:val="0"/>
        <w:pageBreakBefore w:val="0"/>
        <w:kinsoku/>
        <w:wordWrap/>
        <w:overflowPunct/>
        <w:topLinePunct w:val="0"/>
        <w:bidi w:val="0"/>
        <w:adjustRightInd w:val="0"/>
        <w:spacing w:before="0" w:beforeAutospacing="0"/>
        <w:ind w:firstLine="480"/>
        <w:textAlignment w:val="auto"/>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4对未通过资格审查的投标人，采购人或采购机构告知其未通过的原因。</w:t>
      </w:r>
    </w:p>
    <w:p>
      <w:pPr>
        <w:pStyle w:val="130"/>
        <w:keepNext w:val="0"/>
        <w:keepLines w:val="0"/>
        <w:pageBreakBefore w:val="0"/>
        <w:kinsoku/>
        <w:wordWrap/>
        <w:overflowPunct/>
        <w:topLinePunct w:val="0"/>
        <w:bidi w:val="0"/>
        <w:adjustRightInd w:val="0"/>
        <w:spacing w:before="0" w:beforeAutospacing="0"/>
        <w:ind w:firstLine="480"/>
        <w:textAlignment w:val="auto"/>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5合格投标人不足3家的，不再评标。</w:t>
      </w:r>
    </w:p>
    <w:p>
      <w:pPr>
        <w:pStyle w:val="130"/>
        <w:keepNext w:val="0"/>
        <w:keepLines w:val="0"/>
        <w:pageBreakBefore w:val="0"/>
        <w:kinsoku/>
        <w:wordWrap/>
        <w:overflowPunct/>
        <w:topLinePunct w:val="0"/>
        <w:bidi w:val="0"/>
        <w:adjustRightInd w:val="0"/>
        <w:spacing w:before="0" w:beforeAutospacing="0"/>
        <w:ind w:firstLine="0" w:firstLineChars="0"/>
        <w:textAlignment w:val="auto"/>
        <w:rPr>
          <w:rFonts w:ascii="仿宋" w:hAnsi="仿宋" w:eastAsia="仿宋" w:cs="仿宋_GB2312"/>
          <w:b/>
          <w:color w:val="auto"/>
          <w:szCs w:val="24"/>
          <w:highlight w:val="none"/>
        </w:rPr>
      </w:pPr>
      <w:r>
        <w:rPr>
          <w:rFonts w:ascii="仿宋" w:hAnsi="仿宋" w:eastAsia="仿宋" w:cs="仿宋_GB2312"/>
          <w:b/>
          <w:color w:val="auto"/>
          <w:szCs w:val="24"/>
          <w:highlight w:val="none"/>
        </w:rPr>
        <w:t>20、信用信息查询</w:t>
      </w:r>
    </w:p>
    <w:p>
      <w:pPr>
        <w:pStyle w:val="130"/>
        <w:keepNext w:val="0"/>
        <w:keepLines w:val="0"/>
        <w:pageBreakBefore w:val="0"/>
        <w:kinsoku/>
        <w:wordWrap/>
        <w:overflowPunct/>
        <w:topLinePunct w:val="0"/>
        <w:bidi w:val="0"/>
        <w:adjustRightInd w:val="0"/>
        <w:spacing w:before="0" w:beforeAutospacing="0"/>
        <w:ind w:firstLine="495" w:firstLineChars="0"/>
        <w:textAlignment w:val="auto"/>
        <w:rPr>
          <w:rFonts w:ascii="仿宋" w:hAnsi="仿宋" w:eastAsia="仿宋" w:cs="Arial"/>
          <w:color w:val="auto"/>
          <w:kern w:val="0"/>
          <w:szCs w:val="24"/>
          <w:highlight w:val="none"/>
        </w:rPr>
      </w:pPr>
      <w:r>
        <w:rPr>
          <w:rFonts w:ascii="仿宋" w:hAnsi="仿宋" w:eastAsia="仿宋"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30"/>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auto"/>
          <w:highlight w:val="none"/>
        </w:rPr>
        <w:t>。</w:t>
      </w:r>
    </w:p>
    <w:p>
      <w:pPr>
        <w:pStyle w:val="130"/>
        <w:spacing w:before="0"/>
        <w:ind w:firstLine="0" w:firstLineChars="0"/>
        <w:rPr>
          <w:rFonts w:ascii="仿宋" w:hAnsi="仿宋" w:eastAsia="仿宋" w:cs="Arial"/>
          <w:color w:val="auto"/>
          <w:kern w:val="0"/>
          <w:szCs w:val="24"/>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五、评标</w:t>
      </w:r>
    </w:p>
    <w:p>
      <w:pPr>
        <w:spacing w:line="360" w:lineRule="auto"/>
        <w:rPr>
          <w:rFonts w:ascii="仿宋" w:hAnsi="仿宋" w:eastAsia="仿宋" w:cs="仿宋_GB2312"/>
          <w:b/>
          <w:color w:val="auto"/>
          <w:sz w:val="24"/>
          <w:highlight w:val="none"/>
        </w:rPr>
      </w:pPr>
      <w:bookmarkStart w:id="13" w:name="_Toc91899903"/>
      <w:r>
        <w:rPr>
          <w:rFonts w:ascii="仿宋" w:hAnsi="仿宋" w:eastAsia="仿宋" w:cs="仿宋_GB2312"/>
          <w:b/>
          <w:color w:val="auto"/>
          <w:sz w:val="24"/>
          <w:highlight w:val="none"/>
        </w:rPr>
        <w:t>21.</w:t>
      </w:r>
      <w:r>
        <w:rPr>
          <w:rFonts w:hint="eastAsia" w:ascii="仿宋" w:hAnsi="仿宋" w:eastAsia="仿宋"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color w:val="auto"/>
          <w:sz w:val="24"/>
          <w:highlight w:val="none"/>
        </w:rPr>
        <w:t>详见招标文件第四部分评标办法。</w:t>
      </w:r>
    </w:p>
    <w:p>
      <w:pPr>
        <w:snapToGrid w:val="0"/>
        <w:spacing w:line="360" w:lineRule="auto"/>
        <w:jc w:val="center"/>
        <w:outlineLvl w:val="0"/>
        <w:rPr>
          <w:rFonts w:ascii="仿宋" w:hAnsi="仿宋" w:eastAsia="仿宋" w:cs="仿宋_GB2312"/>
          <w:b/>
          <w:color w:val="auto"/>
          <w:sz w:val="36"/>
          <w:szCs w:val="36"/>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六、定标</w:t>
      </w:r>
    </w:p>
    <w:p>
      <w:pPr>
        <w:pStyle w:val="6"/>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22. </w:t>
      </w:r>
      <w:r>
        <w:rPr>
          <w:rFonts w:hint="eastAsia" w:ascii="仿宋" w:hAnsi="仿宋" w:eastAsia="仿宋" w:cs="仿宋_GB2312"/>
          <w:b/>
          <w:color w:val="auto"/>
          <w:highlight w:val="none"/>
        </w:rPr>
        <w:t>确定中标供应商</w:t>
      </w:r>
    </w:p>
    <w:p>
      <w:pPr>
        <w:pStyle w:val="130"/>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采购人将自收到评审报告之日起2</w:t>
      </w:r>
      <w:r>
        <w:rPr>
          <w:rFonts w:ascii="仿宋" w:hAnsi="仿宋" w:eastAsia="仿宋" w:cs="仿宋_GB2312"/>
          <w:color w:val="auto"/>
          <w:szCs w:val="24"/>
          <w:highlight w:val="none"/>
        </w:rPr>
        <w:t>个工作日内通过电子交易平台在评审报告推荐的中标候选人中按顺序确定中标供应商。</w:t>
      </w:r>
    </w:p>
    <w:p>
      <w:pPr>
        <w:pStyle w:val="130"/>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 xml:space="preserve">23. </w:t>
      </w:r>
      <w:r>
        <w:rPr>
          <w:rFonts w:hint="eastAsia" w:ascii="仿宋" w:hAnsi="仿宋" w:eastAsia="仿宋" w:cs="仿宋_GB2312"/>
          <w:b/>
          <w:color w:val="auto"/>
          <w:szCs w:val="24"/>
          <w:highlight w:val="none"/>
        </w:rPr>
        <w:t>中标通知与中标结果公告</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23.1自中标人确定之日起2个工作日内，采购机构通过电子交易平台向中标人发出中标通知书，</w:t>
      </w:r>
      <w:r>
        <w:rPr>
          <w:rFonts w:hint="eastAsia" w:ascii="仿宋" w:hAnsi="仿宋" w:eastAsia="仿宋"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 w:hAnsi="仿宋" w:eastAsia="仿宋"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_GB2312"/>
          <w:color w:val="auto"/>
          <w:sz w:val="24"/>
          <w:highlight w:val="none"/>
        </w:rPr>
      </w:pPr>
      <w:r>
        <w:rPr>
          <w:rFonts w:ascii="仿宋" w:hAnsi="仿宋" w:eastAsia="仿宋" w:cs="仿宋_GB2312"/>
          <w:color w:val="auto"/>
          <w:sz w:val="24"/>
          <w:highlight w:val="none"/>
        </w:rPr>
        <w:t>23.3公告期限为1个工作日。</w:t>
      </w:r>
    </w:p>
    <w:p>
      <w:pPr>
        <w:snapToGrid w:val="0"/>
        <w:spacing w:line="360" w:lineRule="auto"/>
        <w:ind w:left="120" w:leftChars="57" w:firstLine="482" w:firstLineChars="150"/>
        <w:jc w:val="center"/>
        <w:rPr>
          <w:rFonts w:ascii="仿宋" w:hAnsi="仿宋" w:eastAsia="仿宋" w:cs="仿宋_GB2312"/>
          <w:b/>
          <w:color w:val="auto"/>
          <w:sz w:val="32"/>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七、合同授予</w:t>
      </w:r>
    </w:p>
    <w:p>
      <w:pPr>
        <w:pStyle w:val="6"/>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24. </w:t>
      </w:r>
      <w:r>
        <w:rPr>
          <w:rFonts w:hint="eastAsia" w:ascii="仿宋" w:hAnsi="仿宋" w:eastAsia="仿宋" w:cs="仿宋_GB2312"/>
          <w:color w:val="auto"/>
          <w:highlight w:val="none"/>
        </w:rPr>
        <w:t>合同主要条款详见第五部分拟签订的合同文本。</w:t>
      </w:r>
    </w:p>
    <w:p>
      <w:pPr>
        <w:pStyle w:val="6"/>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25. </w:t>
      </w:r>
      <w:r>
        <w:rPr>
          <w:rFonts w:hint="eastAsia" w:ascii="仿宋" w:hAnsi="仿宋" w:eastAsia="仿宋" w:cs="仿宋_GB2312"/>
          <w:b/>
          <w:color w:val="auto"/>
          <w:highlight w:val="none"/>
        </w:rPr>
        <w:t>合同的签订</w:t>
      </w:r>
    </w:p>
    <w:p>
      <w:pPr>
        <w:widowControl/>
        <w:shd w:val="clear" w:color="auto" w:fill="FFFFFF"/>
        <w:spacing w:line="360" w:lineRule="auto"/>
        <w:ind w:firstLine="480"/>
        <w:jc w:val="left"/>
        <w:rPr>
          <w:rFonts w:ascii="仿宋" w:hAnsi="仿宋" w:eastAsia="仿宋" w:cs="Arial"/>
          <w:color w:val="auto"/>
          <w:kern w:val="0"/>
          <w:sz w:val="24"/>
          <w:highlight w:val="none"/>
        </w:rPr>
      </w:pPr>
      <w:r>
        <w:rPr>
          <w:rFonts w:ascii="仿宋" w:hAnsi="仿宋" w:eastAsia="仿宋" w:cs="仿宋_GB2312"/>
          <w:color w:val="auto"/>
          <w:sz w:val="24"/>
          <w:highlight w:val="none"/>
        </w:rPr>
        <w:t>25.1</w:t>
      </w:r>
      <w:r>
        <w:rPr>
          <w:rFonts w:ascii="仿宋" w:hAnsi="仿宋" w:eastAsia="仿宋" w:cs="Arial"/>
          <w:color w:val="auto"/>
          <w:kern w:val="0"/>
          <w:sz w:val="24"/>
          <w:highlight w:val="none"/>
        </w:rPr>
        <w:t xml:space="preserve"> 采购人与中标人应当通过电子交易平台在中标通知书发出之日起</w:t>
      </w:r>
      <w:r>
        <w:rPr>
          <w:rFonts w:hint="eastAsia" w:ascii="仿宋" w:hAnsi="仿宋" w:eastAsia="仿宋" w:cs="Arial"/>
          <w:color w:val="auto"/>
          <w:kern w:val="0"/>
          <w:sz w:val="24"/>
          <w:highlight w:val="none"/>
        </w:rPr>
        <w:t>十个工作日</w:t>
      </w:r>
      <w:r>
        <w:rPr>
          <w:rFonts w:ascii="仿宋" w:hAnsi="仿宋" w:eastAsia="仿宋" w:cs="Arial"/>
          <w:color w:val="auto"/>
          <w:kern w:val="0"/>
          <w:sz w:val="24"/>
          <w:highlight w:val="none"/>
        </w:rPr>
        <w:t>内，按照招标文件确定的事项签订政府采购合同，并在</w:t>
      </w:r>
      <w:r>
        <w:rPr>
          <w:rFonts w:hint="eastAsia" w:ascii="仿宋" w:hAnsi="仿宋" w:eastAsia="仿宋" w:cs="Arial"/>
          <w:color w:val="auto"/>
          <w:kern w:val="0"/>
          <w:sz w:val="24"/>
          <w:highlight w:val="none"/>
        </w:rPr>
        <w:t>合同签订之日起2个工作日</w:t>
      </w:r>
      <w:r>
        <w:rPr>
          <w:rFonts w:ascii="仿宋" w:hAnsi="仿宋" w:eastAsia="仿宋" w:cs="Arial"/>
          <w:color w:val="auto"/>
          <w:kern w:val="0"/>
          <w:sz w:val="24"/>
          <w:highlight w:val="none"/>
        </w:rPr>
        <w:t>内依法发布合同公告。</w:t>
      </w:r>
    </w:p>
    <w:p>
      <w:pPr>
        <w:pStyle w:val="130"/>
        <w:snapToGrid w:val="0"/>
        <w:spacing w:before="0"/>
        <w:ind w:firstLine="480"/>
        <w:rPr>
          <w:rFonts w:ascii="仿宋" w:hAnsi="仿宋" w:eastAsia="仿宋"/>
          <w:color w:val="auto"/>
          <w:kern w:val="0"/>
          <w:highlight w:val="none"/>
        </w:rPr>
      </w:pPr>
      <w:r>
        <w:rPr>
          <w:rFonts w:ascii="仿宋" w:hAnsi="仿宋" w:eastAsia="仿宋" w:cs="仿宋_GB2312"/>
          <w:color w:val="auto"/>
          <w:kern w:val="0"/>
          <w:highlight w:val="none"/>
          <w:lang w:val="zh-CN"/>
        </w:rPr>
        <w:t>25.2</w:t>
      </w:r>
      <w:r>
        <w:rPr>
          <w:rFonts w:hint="eastAsia" w:ascii="仿宋" w:hAnsi="仿宋" w:eastAsia="仿宋"/>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25.4中标供应</w:t>
      </w:r>
      <w:r>
        <w:rPr>
          <w:rFonts w:hint="eastAsia" w:ascii="仿宋" w:hAnsi="仿宋" w:eastAsia="仿宋"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仿宋" w:hAnsi="仿宋" w:eastAsia="仿宋" w:cs="仿宋_GB2312"/>
          <w:color w:val="auto"/>
          <w:highlight w:val="none"/>
        </w:rPr>
      </w:pPr>
      <w:r>
        <w:rPr>
          <w:rFonts w:ascii="仿宋" w:hAnsi="仿宋" w:eastAsia="仿宋" w:cs="仿宋_GB2312"/>
          <w:color w:val="auto"/>
          <w:highlight w:val="none"/>
        </w:rPr>
        <w:t>25.5采购合同由采购人与中标供应商根据</w:t>
      </w:r>
      <w:r>
        <w:rPr>
          <w:rFonts w:hint="eastAsia" w:ascii="仿宋" w:hAnsi="仿宋" w:eastAsia="仿宋" w:cs="仿宋_GB2312"/>
          <w:color w:val="auto"/>
          <w:highlight w:val="none"/>
        </w:rPr>
        <w:t>招标文件、投标文件等内容通过政府采购电子交易平台在线签订，自动备案。</w:t>
      </w:r>
    </w:p>
    <w:p>
      <w:pPr>
        <w:pStyle w:val="6"/>
        <w:spacing w:line="360" w:lineRule="auto"/>
        <w:ind w:left="479" w:hanging="479" w:hangingChars="199"/>
        <w:rPr>
          <w:rFonts w:hint="eastAsia" w:ascii="仿宋" w:hAnsi="仿宋" w:eastAsia="仿宋" w:cs="仿宋_GB2312"/>
          <w:b/>
          <w:color w:val="auto"/>
          <w:highlight w:val="none"/>
          <w:lang w:eastAsia="zh-CN"/>
        </w:rPr>
      </w:pPr>
      <w:r>
        <w:rPr>
          <w:rFonts w:ascii="仿宋" w:hAnsi="仿宋" w:eastAsia="仿宋" w:cs="仿宋_GB2312"/>
          <w:b/>
          <w:color w:val="auto"/>
          <w:highlight w:val="none"/>
        </w:rPr>
        <w:t xml:space="preserve">26. </w:t>
      </w:r>
      <w:r>
        <w:rPr>
          <w:rFonts w:hint="eastAsia" w:ascii="仿宋" w:hAnsi="仿宋" w:eastAsia="仿宋" w:cs="仿宋_GB2312"/>
          <w:b/>
          <w:color w:val="auto"/>
          <w:highlight w:val="none"/>
        </w:rPr>
        <w:t>履约保证金</w:t>
      </w:r>
    </w:p>
    <w:p>
      <w:pPr>
        <w:tabs>
          <w:tab w:val="left" w:pos="0"/>
        </w:tabs>
        <w:spacing w:line="360" w:lineRule="auto"/>
        <w:ind w:firstLine="482"/>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lang w:val="en-US" w:eastAsia="zh-CN"/>
        </w:rPr>
        <w:t>本项目</w:t>
      </w:r>
      <w:r>
        <w:rPr>
          <w:rFonts w:hint="eastAsia" w:ascii="仿宋_GB2312" w:hAnsi="仿宋" w:eastAsia="仿宋_GB2312" w:cs="仿宋_GB2312"/>
          <w:color w:val="auto"/>
          <w:sz w:val="24"/>
          <w:szCs w:val="20"/>
          <w:highlight w:val="none"/>
        </w:rPr>
        <w:t>收取合同金额的1%作为履约保证金。履约保证金可以以银行、保险公司出具的保函形式提供。杭州市政府采购网公布的供应商履约评价为满分的供应商，免收履约保证金。</w:t>
      </w:r>
    </w:p>
    <w:p>
      <w:pPr>
        <w:tabs>
          <w:tab w:val="left" w:pos="0"/>
        </w:tabs>
        <w:spacing w:line="360" w:lineRule="auto"/>
        <w:ind w:firstLine="482"/>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供应商</w:t>
      </w:r>
      <w:r>
        <w:rPr>
          <w:rFonts w:hint="eastAsia" w:ascii="仿宋_GB2312" w:hAnsi="仿宋" w:eastAsia="仿宋_GB2312" w:cs="仿宋_GB2312"/>
          <w:color w:val="auto"/>
          <w:sz w:val="24"/>
          <w:szCs w:val="20"/>
          <w:highlight w:val="none"/>
          <w:lang w:val="en-US"/>
        </w:rPr>
        <w:t>可</w:t>
      </w:r>
      <w:r>
        <w:rPr>
          <w:rFonts w:hint="eastAsia" w:ascii="仿宋_GB2312" w:hAnsi="仿宋" w:eastAsia="仿宋_GB2312" w:cs="仿宋_GB2312"/>
          <w:color w:val="auto"/>
          <w:sz w:val="24"/>
          <w:szCs w:val="20"/>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hint="eastAsia" w:ascii="仿宋" w:hAnsi="仿宋" w:eastAsia="仿宋" w:cs="仿宋_GB2312"/>
          <w:b/>
          <w:color w:val="auto"/>
          <w:sz w:val="32"/>
          <w:highlight w:val="none"/>
        </w:rPr>
      </w:pPr>
    </w:p>
    <w:p>
      <w:pPr>
        <w:snapToGrid w:val="0"/>
        <w:spacing w:line="360" w:lineRule="auto"/>
        <w:jc w:val="center"/>
        <w:rPr>
          <w:rFonts w:ascii="仿宋" w:hAnsi="仿宋" w:eastAsia="仿宋"/>
          <w:b/>
          <w:color w:val="auto"/>
          <w:sz w:val="24"/>
          <w:highlight w:val="none"/>
        </w:rPr>
      </w:pPr>
      <w:r>
        <w:rPr>
          <w:rFonts w:hint="eastAsia" w:ascii="仿宋" w:hAnsi="仿宋" w:eastAsia="仿宋" w:cs="仿宋_GB2312"/>
          <w:b/>
          <w:color w:val="auto"/>
          <w:sz w:val="32"/>
          <w:highlight w:val="none"/>
        </w:rPr>
        <w:t>八、电子交易活动的中止</w:t>
      </w:r>
    </w:p>
    <w:p>
      <w:pPr>
        <w:pStyle w:val="130"/>
        <w:snapToGrid w:val="0"/>
        <w:spacing w:before="0"/>
        <w:ind w:firstLine="0" w:firstLineChars="0"/>
        <w:rPr>
          <w:rFonts w:ascii="仿宋" w:hAnsi="仿宋" w:eastAsia="仿宋" w:cs="仿宋_GB2312"/>
          <w:color w:val="auto"/>
          <w:highlight w:val="none"/>
        </w:rPr>
      </w:pPr>
      <w:r>
        <w:rPr>
          <w:rFonts w:ascii="仿宋" w:hAnsi="仿宋" w:eastAsia="仿宋" w:cs="仿宋_GB2312"/>
          <w:color w:val="auto"/>
          <w:highlight w:val="none"/>
        </w:rPr>
        <w:t>2</w:t>
      </w:r>
      <w:r>
        <w:rPr>
          <w:rFonts w:ascii="仿宋" w:hAnsi="仿宋" w:eastAsia="仿宋" w:cs="仿宋_GB2312"/>
          <w:b/>
          <w:color w:val="auto"/>
          <w:szCs w:val="24"/>
          <w:highlight w:val="none"/>
        </w:rPr>
        <w:t xml:space="preserve">7. </w:t>
      </w:r>
      <w:r>
        <w:rPr>
          <w:rFonts w:hint="eastAsia" w:ascii="仿宋" w:hAnsi="仿宋" w:eastAsia="仿宋" w:cs="仿宋_GB2312"/>
          <w:b/>
          <w:color w:val="auto"/>
          <w:szCs w:val="24"/>
          <w:highlight w:val="none"/>
        </w:rPr>
        <w:t>电子交易活动的中止。</w:t>
      </w:r>
      <w:r>
        <w:rPr>
          <w:rFonts w:hint="eastAsia" w:ascii="仿宋" w:hAnsi="仿宋" w:eastAsia="仿宋" w:cs="仿宋_GB2312"/>
          <w:color w:val="auto"/>
          <w:highlight w:val="none"/>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 xml:space="preserve">27.1电子交易平台发生故障而无法登录访问的； </w:t>
      </w:r>
    </w:p>
    <w:p>
      <w:pPr>
        <w:pStyle w:val="130"/>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27.2电子交易平台应用或数据库出现错误，不能进行正常操作的；</w:t>
      </w:r>
    </w:p>
    <w:p>
      <w:pPr>
        <w:pStyle w:val="130"/>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27.3电子交易平台发现严重安全漏洞，有潜在泄密危险的；</w:t>
      </w:r>
    </w:p>
    <w:p>
      <w:pPr>
        <w:pStyle w:val="130"/>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 xml:space="preserve">27.4病毒发作导致不能进行正常操作的； </w:t>
      </w:r>
    </w:p>
    <w:p>
      <w:pPr>
        <w:pStyle w:val="130"/>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27.5其他无法保证电子交易的公平、公正和安全的情况。</w:t>
      </w:r>
    </w:p>
    <w:p>
      <w:pPr>
        <w:pStyle w:val="130"/>
        <w:snapToGrid w:val="0"/>
        <w:spacing w:before="0"/>
        <w:ind w:firstLine="0" w:firstLineChars="0"/>
        <w:rPr>
          <w:rFonts w:ascii="仿宋" w:hAnsi="仿宋" w:eastAsia="仿宋" w:cs="仿宋_GB2312"/>
          <w:color w:val="auto"/>
          <w:highlight w:val="none"/>
        </w:rPr>
      </w:pPr>
      <w:r>
        <w:rPr>
          <w:rFonts w:ascii="仿宋" w:hAnsi="仿宋" w:eastAsia="仿宋" w:cs="仿宋_GB2312"/>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olor w:val="auto"/>
          <w:sz w:val="24"/>
          <w:highlight w:val="none"/>
        </w:rPr>
      </w:pPr>
    </w:p>
    <w:p>
      <w:pPr>
        <w:snapToGrid w:val="0"/>
        <w:spacing w:line="360" w:lineRule="auto"/>
        <w:ind w:left="120" w:leftChars="57" w:firstLine="482" w:firstLineChars="15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九、验收</w:t>
      </w:r>
    </w:p>
    <w:p>
      <w:pPr>
        <w:pStyle w:val="6"/>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29.验收</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29.2采购人可以邀请参加本项目的其他投标人或者第三方机构参与验收。参与验收的投标人或者第三方机构的意见作为</w:t>
      </w:r>
      <w:r>
        <w:rPr>
          <w:rFonts w:hint="eastAsia" w:ascii="仿宋" w:hAnsi="仿宋" w:eastAsia="仿宋" w:cs="Helvetica"/>
          <w:color w:val="auto"/>
          <w:kern w:val="0"/>
          <w:sz w:val="24"/>
          <w:highlight w:val="none"/>
        </w:rPr>
        <w:t>验收书的参考资料一并存档。</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 w:hAnsi="仿宋" w:eastAsia="仿宋"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57669"/>
      <w:bookmarkEnd w:id="14"/>
      <w:bookmarkStart w:id="15" w:name="_Hlt74707468"/>
      <w:bookmarkEnd w:id="15"/>
      <w:bookmarkStart w:id="16" w:name="_Hlt75236011"/>
      <w:bookmarkEnd w:id="16"/>
      <w:bookmarkStart w:id="17" w:name="_Hlt68072990"/>
      <w:bookmarkEnd w:id="17"/>
      <w:bookmarkStart w:id="18" w:name="_Hlt68073093"/>
      <w:bookmarkEnd w:id="18"/>
      <w:bookmarkStart w:id="19" w:name="_Hlt68072998"/>
      <w:bookmarkEnd w:id="19"/>
      <w:bookmarkStart w:id="20" w:name="_Hlt75236290"/>
      <w:bookmarkEnd w:id="20"/>
      <w:bookmarkStart w:id="21" w:name="_Hlt74714665"/>
      <w:bookmarkEnd w:id="21"/>
      <w:bookmarkStart w:id="22" w:name="_Hlt74729768"/>
      <w:bookmarkEnd w:id="22"/>
      <w:bookmarkStart w:id="23" w:name="_Hlt74730295"/>
      <w:bookmarkEnd w:id="23"/>
      <w:bookmarkStart w:id="24" w:name="_Hlt75236101"/>
      <w:bookmarkEnd w:id="24"/>
      <w:bookmarkStart w:id="25" w:name="_Hlt68403820"/>
      <w:bookmarkEnd w:id="25"/>
    </w:p>
    <w:bookmarkEnd w:id="11"/>
    <w:bookmarkEnd w:id="12"/>
    <w:p>
      <w:pPr>
        <w:spacing w:line="360" w:lineRule="auto"/>
        <w:jc w:val="center"/>
        <w:outlineLvl w:val="0"/>
        <w:rPr>
          <w:rFonts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第三部分采购需求</w:t>
      </w:r>
    </w:p>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标项一：温室气体手工监测及移动监测服务项目</w:t>
      </w:r>
    </w:p>
    <w:p>
      <w:pPr>
        <w:adjustRightInd w:val="0"/>
        <w:spacing w:line="360" w:lineRule="auto"/>
        <w:contextualSpacing/>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一、项目概况</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根据生态环境部发布的《碳监测评估试点工作方案》（环办监测函〔2021〕435号）要求，推进杭州市碳监测试点工作，开展温室气体手工监测及移动监测工作，购买相关服务。</w:t>
      </w:r>
    </w:p>
    <w:p>
      <w:pPr>
        <w:adjustRightInd w:val="0"/>
        <w:spacing w:line="360" w:lineRule="auto"/>
        <w:contextualSpacing/>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二、招标需求一览表</w:t>
      </w:r>
    </w:p>
    <w:tbl>
      <w:tblPr>
        <w:tblStyle w:val="64"/>
        <w:tblW w:w="8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191"/>
        <w:gridCol w:w="2628"/>
        <w:gridCol w:w="1758"/>
        <w:gridCol w:w="1001"/>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64" w:type="dxa"/>
            <w:vAlign w:val="center"/>
          </w:tcPr>
          <w:p>
            <w:pPr>
              <w:adjustRightInd w:val="0"/>
              <w:spacing w:line="360" w:lineRule="auto"/>
              <w:contextualSpacing/>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191" w:type="dxa"/>
            <w:vAlign w:val="center"/>
          </w:tcPr>
          <w:p>
            <w:pPr>
              <w:adjustRightInd w:val="0"/>
              <w:spacing w:line="360" w:lineRule="auto"/>
              <w:contextualSpacing/>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项目内容</w:t>
            </w:r>
          </w:p>
        </w:tc>
        <w:tc>
          <w:tcPr>
            <w:tcW w:w="2628" w:type="dxa"/>
            <w:vAlign w:val="center"/>
          </w:tcPr>
          <w:p>
            <w:pPr>
              <w:adjustRightInd w:val="0"/>
              <w:spacing w:line="360" w:lineRule="auto"/>
              <w:contextualSpacing/>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监测指标</w:t>
            </w:r>
          </w:p>
        </w:tc>
        <w:tc>
          <w:tcPr>
            <w:tcW w:w="1758" w:type="dxa"/>
            <w:vAlign w:val="center"/>
          </w:tcPr>
          <w:p>
            <w:pPr>
              <w:adjustRightInd w:val="0"/>
              <w:spacing w:line="360" w:lineRule="auto"/>
              <w:contextualSpacing/>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监测频次</w:t>
            </w:r>
          </w:p>
        </w:tc>
        <w:tc>
          <w:tcPr>
            <w:tcW w:w="1001" w:type="dxa"/>
            <w:vAlign w:val="center"/>
          </w:tcPr>
          <w:p>
            <w:pPr>
              <w:adjustRightInd w:val="0"/>
              <w:spacing w:line="360" w:lineRule="auto"/>
              <w:contextualSpacing/>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点位数</w:t>
            </w:r>
          </w:p>
        </w:tc>
        <w:tc>
          <w:tcPr>
            <w:tcW w:w="1530" w:type="dxa"/>
            <w:vAlign w:val="center"/>
          </w:tcPr>
          <w:p>
            <w:pPr>
              <w:adjustRightInd w:val="0"/>
              <w:spacing w:line="360" w:lineRule="auto"/>
              <w:contextualSpacing/>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64" w:type="dxa"/>
            <w:vMerge w:val="restart"/>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191" w:type="dxa"/>
            <w:vMerge w:val="restart"/>
            <w:vAlign w:val="center"/>
          </w:tcPr>
          <w:p>
            <w:pPr>
              <w:adjustRightInd w:val="0"/>
              <w:spacing w:line="360" w:lineRule="auto"/>
              <w:contextualSpacing/>
              <w:jc w:val="center"/>
              <w:rPr>
                <w:rFonts w:hint="eastAsia" w:ascii="仿宋" w:hAnsi="仿宋" w:eastAsia="仿宋" w:cs="仿宋"/>
                <w:caps/>
                <w:color w:val="auto"/>
                <w:sz w:val="24"/>
                <w:szCs w:val="24"/>
                <w:highlight w:val="none"/>
              </w:rPr>
            </w:pPr>
            <w:r>
              <w:rPr>
                <w:rFonts w:hint="eastAsia" w:ascii="仿宋" w:hAnsi="仿宋" w:eastAsia="仿宋" w:cs="仿宋"/>
                <w:color w:val="auto"/>
                <w:sz w:val="24"/>
                <w:szCs w:val="24"/>
                <w:highlight w:val="none"/>
              </w:rPr>
              <w:t>手工监测</w:t>
            </w:r>
          </w:p>
        </w:tc>
        <w:tc>
          <w:tcPr>
            <w:tcW w:w="2628"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、CO、N</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O</w:t>
            </w:r>
          </w:p>
        </w:tc>
        <w:tc>
          <w:tcPr>
            <w:tcW w:w="1758"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每周一次</w:t>
            </w:r>
          </w:p>
        </w:tc>
        <w:tc>
          <w:tcPr>
            <w:tcW w:w="1001"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530" w:type="dxa"/>
            <w:vMerge w:val="restart"/>
            <w:vAlign w:val="center"/>
          </w:tcPr>
          <w:p>
            <w:pPr>
              <w:adjustRightInd w:val="0"/>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合同签订之日起半年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64" w:type="dxa"/>
            <w:vMerge w:val="continue"/>
            <w:vAlign w:val="center"/>
          </w:tcPr>
          <w:p>
            <w:pPr>
              <w:adjustRightInd w:val="0"/>
              <w:spacing w:line="360" w:lineRule="auto"/>
              <w:contextualSpacing/>
              <w:jc w:val="center"/>
              <w:rPr>
                <w:rFonts w:hint="eastAsia" w:ascii="仿宋" w:hAnsi="仿宋" w:eastAsia="仿宋" w:cs="仿宋"/>
                <w:color w:val="auto"/>
                <w:sz w:val="24"/>
                <w:szCs w:val="24"/>
                <w:highlight w:val="none"/>
              </w:rPr>
            </w:pPr>
          </w:p>
        </w:tc>
        <w:tc>
          <w:tcPr>
            <w:tcW w:w="1191" w:type="dxa"/>
            <w:vMerge w:val="continue"/>
            <w:vAlign w:val="center"/>
          </w:tcPr>
          <w:p>
            <w:pPr>
              <w:adjustRightInd w:val="0"/>
              <w:spacing w:line="360" w:lineRule="auto"/>
              <w:contextualSpacing/>
              <w:rPr>
                <w:rFonts w:hint="eastAsia" w:ascii="仿宋" w:hAnsi="仿宋" w:eastAsia="仿宋" w:cs="仿宋"/>
                <w:color w:val="auto"/>
                <w:sz w:val="24"/>
                <w:szCs w:val="24"/>
                <w:highlight w:val="none"/>
              </w:rPr>
            </w:pPr>
          </w:p>
        </w:tc>
        <w:tc>
          <w:tcPr>
            <w:tcW w:w="2628"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HFCs、PFCs、SF</w:t>
            </w:r>
            <w:r>
              <w:rPr>
                <w:rFonts w:hint="eastAsia" w:ascii="仿宋" w:hAnsi="仿宋" w:eastAsia="仿宋" w:cs="仿宋"/>
                <w:color w:val="auto"/>
                <w:sz w:val="24"/>
                <w:szCs w:val="24"/>
                <w:highlight w:val="none"/>
                <w:vertAlign w:val="subscript"/>
              </w:rPr>
              <w:t>6</w:t>
            </w:r>
            <w:r>
              <w:rPr>
                <w:rFonts w:hint="eastAsia" w:ascii="仿宋" w:hAnsi="仿宋" w:eastAsia="仿宋" w:cs="仿宋"/>
                <w:color w:val="auto"/>
                <w:sz w:val="24"/>
                <w:szCs w:val="24"/>
                <w:highlight w:val="none"/>
              </w:rPr>
              <w:t>、NF</w:t>
            </w:r>
            <w:r>
              <w:rPr>
                <w:rFonts w:hint="eastAsia" w:ascii="仿宋" w:hAnsi="仿宋" w:eastAsia="仿宋" w:cs="仿宋"/>
                <w:color w:val="auto"/>
                <w:sz w:val="24"/>
                <w:szCs w:val="24"/>
                <w:highlight w:val="none"/>
                <w:vertAlign w:val="subscript"/>
              </w:rPr>
              <w:t>3</w:t>
            </w:r>
          </w:p>
        </w:tc>
        <w:tc>
          <w:tcPr>
            <w:tcW w:w="1758"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每两周一次</w:t>
            </w:r>
          </w:p>
        </w:tc>
        <w:tc>
          <w:tcPr>
            <w:tcW w:w="1001"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530" w:type="dxa"/>
            <w:vMerge w:val="continue"/>
            <w:vAlign w:val="center"/>
          </w:tcPr>
          <w:p>
            <w:pPr>
              <w:adjustRightInd w:val="0"/>
              <w:contextualSpacing/>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64" w:type="dxa"/>
            <w:vMerge w:val="continue"/>
            <w:vAlign w:val="center"/>
          </w:tcPr>
          <w:p>
            <w:pPr>
              <w:adjustRightInd w:val="0"/>
              <w:spacing w:line="360" w:lineRule="auto"/>
              <w:contextualSpacing/>
              <w:jc w:val="center"/>
              <w:rPr>
                <w:rFonts w:hint="eastAsia" w:ascii="仿宋" w:hAnsi="仿宋" w:eastAsia="仿宋" w:cs="仿宋"/>
                <w:color w:val="auto"/>
                <w:sz w:val="24"/>
                <w:szCs w:val="24"/>
                <w:highlight w:val="none"/>
              </w:rPr>
            </w:pPr>
          </w:p>
        </w:tc>
        <w:tc>
          <w:tcPr>
            <w:tcW w:w="1191" w:type="dxa"/>
            <w:vMerge w:val="continue"/>
            <w:vAlign w:val="center"/>
          </w:tcPr>
          <w:p>
            <w:pPr>
              <w:adjustRightInd w:val="0"/>
              <w:spacing w:line="360" w:lineRule="auto"/>
              <w:contextualSpacing/>
              <w:rPr>
                <w:rFonts w:hint="eastAsia" w:ascii="仿宋" w:hAnsi="仿宋" w:eastAsia="仿宋" w:cs="仿宋"/>
                <w:color w:val="auto"/>
                <w:sz w:val="24"/>
                <w:szCs w:val="24"/>
                <w:highlight w:val="none"/>
              </w:rPr>
            </w:pPr>
          </w:p>
        </w:tc>
        <w:tc>
          <w:tcPr>
            <w:tcW w:w="2628"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碳同位素</w:t>
            </w:r>
            <w:r>
              <w:rPr>
                <w:rFonts w:hint="eastAsia" w:ascii="仿宋" w:hAnsi="仿宋" w:eastAsia="仿宋" w:cs="仿宋"/>
                <w:color w:val="auto"/>
                <w:sz w:val="24"/>
                <w:szCs w:val="24"/>
                <w:highlight w:val="none"/>
                <w:vertAlign w:val="superscript"/>
              </w:rPr>
              <w:t>14</w:t>
            </w:r>
            <w:r>
              <w:rPr>
                <w:rFonts w:hint="eastAsia" w:ascii="仿宋" w:hAnsi="仿宋" w:eastAsia="仿宋" w:cs="仿宋"/>
                <w:color w:val="auto"/>
                <w:sz w:val="24"/>
                <w:szCs w:val="24"/>
                <w:highlight w:val="none"/>
              </w:rPr>
              <w:t>CO</w:t>
            </w:r>
            <w:r>
              <w:rPr>
                <w:rFonts w:hint="eastAsia" w:ascii="仿宋" w:hAnsi="仿宋" w:eastAsia="仿宋" w:cs="仿宋"/>
                <w:color w:val="auto"/>
                <w:sz w:val="24"/>
                <w:szCs w:val="24"/>
                <w:highlight w:val="none"/>
                <w:vertAlign w:val="subscript"/>
              </w:rPr>
              <w:t>2</w:t>
            </w:r>
          </w:p>
        </w:tc>
        <w:tc>
          <w:tcPr>
            <w:tcW w:w="1758"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每周一次</w:t>
            </w:r>
          </w:p>
        </w:tc>
        <w:tc>
          <w:tcPr>
            <w:tcW w:w="1001"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530" w:type="dxa"/>
            <w:vAlign w:val="center"/>
          </w:tcPr>
          <w:p>
            <w:pPr>
              <w:adjustRightInd w:val="0"/>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合同签订之日起一年半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64"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191"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走航及无人机监测</w:t>
            </w:r>
          </w:p>
        </w:tc>
        <w:tc>
          <w:tcPr>
            <w:tcW w:w="2628" w:type="dxa"/>
            <w:vAlign w:val="center"/>
          </w:tcPr>
          <w:p>
            <w:pPr>
              <w:adjustRightInd w:val="0"/>
              <w:spacing w:line="320" w:lineRule="exact"/>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柱浓度、CH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柱浓度</w:t>
            </w:r>
          </w:p>
        </w:tc>
        <w:tc>
          <w:tcPr>
            <w:tcW w:w="1758"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每季度一次</w:t>
            </w:r>
          </w:p>
        </w:tc>
        <w:tc>
          <w:tcPr>
            <w:tcW w:w="1001" w:type="dxa"/>
            <w:vAlign w:val="center"/>
          </w:tcPr>
          <w:p>
            <w:pPr>
              <w:adjustRightInd w:val="0"/>
              <w:spacing w:line="360" w:lineRule="auto"/>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530" w:type="dxa"/>
            <w:vAlign w:val="center"/>
          </w:tcPr>
          <w:p>
            <w:pPr>
              <w:adjustRightInd w:val="0"/>
              <w:contextualSpacing/>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合同签订之日起</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年</w:t>
            </w:r>
          </w:p>
        </w:tc>
      </w:tr>
    </w:tbl>
    <w:p>
      <w:pPr>
        <w:adjustRightInd w:val="0"/>
        <w:spacing w:line="360" w:lineRule="auto"/>
        <w:contextualSpacing/>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三、服务要求 </w:t>
      </w:r>
    </w:p>
    <w:p>
      <w:pPr>
        <w:adjustRightIn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（一）温室气体手工监测</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在杭州市高精度温室气体监测点位开展温室气体手工监测工作, 包含采样与分析，监测指标为CO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、CO、N</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O、HFCs、PFCs、SF</w:t>
      </w:r>
      <w:r>
        <w:rPr>
          <w:rFonts w:hint="eastAsia" w:ascii="仿宋" w:hAnsi="仿宋" w:eastAsia="仿宋" w:cs="仿宋"/>
          <w:color w:val="auto"/>
          <w:sz w:val="24"/>
          <w:szCs w:val="24"/>
          <w:highlight w:val="none"/>
          <w:vertAlign w:val="subscript"/>
        </w:rPr>
        <w:t>6</w:t>
      </w:r>
      <w:r>
        <w:rPr>
          <w:rFonts w:hint="eastAsia" w:ascii="仿宋" w:hAnsi="仿宋" w:eastAsia="仿宋" w:cs="仿宋"/>
          <w:color w:val="auto"/>
          <w:sz w:val="24"/>
          <w:szCs w:val="24"/>
          <w:highlight w:val="none"/>
        </w:rPr>
        <w:t>、NF</w:t>
      </w:r>
      <w:r>
        <w:rPr>
          <w:rFonts w:hint="eastAsia" w:ascii="仿宋" w:hAnsi="仿宋" w:eastAsia="仿宋" w:cs="仿宋"/>
          <w:color w:val="auto"/>
          <w:sz w:val="24"/>
          <w:szCs w:val="24"/>
          <w:highlight w:val="none"/>
          <w:vertAlign w:val="subscript"/>
        </w:rPr>
        <w:t>3</w:t>
      </w:r>
      <w:r>
        <w:rPr>
          <w:rFonts w:hint="eastAsia" w:ascii="仿宋" w:hAnsi="仿宋" w:eastAsia="仿宋" w:cs="仿宋"/>
          <w:color w:val="auto"/>
          <w:sz w:val="24"/>
          <w:szCs w:val="24"/>
          <w:highlight w:val="none"/>
        </w:rPr>
        <w:t>和</w:t>
      </w:r>
      <w:r>
        <w:rPr>
          <w:rFonts w:hint="eastAsia" w:ascii="仿宋" w:hAnsi="仿宋" w:eastAsia="仿宋" w:cs="仿宋"/>
          <w:color w:val="auto"/>
          <w:sz w:val="24"/>
          <w:szCs w:val="24"/>
          <w:highlight w:val="none"/>
          <w:vertAlign w:val="superscript"/>
        </w:rPr>
        <w:t>14</w:t>
      </w:r>
      <w:r>
        <w:rPr>
          <w:rFonts w:hint="eastAsia" w:ascii="仿宋" w:hAnsi="仿宋" w:eastAsia="仿宋" w:cs="仿宋"/>
          <w:color w:val="auto"/>
          <w:sz w:val="24"/>
          <w:szCs w:val="24"/>
          <w:highlight w:val="none"/>
        </w:rPr>
        <w:t>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w:t>
      </w:r>
    </w:p>
    <w:p>
      <w:pPr>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1.采样与分析</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1.1相关规范</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《温室气体玻璃瓶采样方法》（QX/T 164—2012）、《温室气体玻璃采样瓶预处理和后处理方法》（QX/T 213—2013）、《卤代温室气体不锈钢采样罐预处理和后处理方法》（QX/T 214—2013）、《环境空气质量手工监测技术规范》（HJ 194—2007）、《环境空气挥发性有机物的测定 罐采样/气相色谱-质谱法》（HJ 759—2015）、《城市碳监测试点质量控制与质量管理指南》（试行）和《环境空气二氧化碳手工监测技术指南》（试行）等。（文件以最新版本为准） </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1.2采样要求</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1.2.1采样时间与频次</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、CO、N</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O</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景芳、临安大明山、大江东、临平工业区、富阳骆村5个高精度温室气体监测点位进行采样，每周一次，每次在上午9时和下午14时各采集一个样品，具体时间根据采购方要求调整。空白样和平行样按有效样品的5%采集。</w:t>
      </w:r>
    </w:p>
    <w:p>
      <w:pPr>
        <w:adjustRightInd w:val="0"/>
        <w:spacing w:line="360" w:lineRule="auto"/>
        <w:ind w:firstLine="480" w:firstLineChars="200"/>
        <w:rPr>
          <w:rFonts w:hint="eastAsia" w:ascii="仿宋" w:hAnsi="仿宋" w:eastAsia="仿宋" w:cs="仿宋"/>
          <w:color w:val="auto"/>
          <w:sz w:val="24"/>
          <w:szCs w:val="24"/>
          <w:highlight w:val="none"/>
          <w:vertAlign w:val="subscript"/>
        </w:rPr>
      </w:pPr>
      <w:r>
        <w:rPr>
          <w:rFonts w:hint="eastAsia" w:ascii="仿宋" w:hAnsi="仿宋" w:eastAsia="仿宋" w:cs="仿宋"/>
          <w:color w:val="auto"/>
          <w:sz w:val="24"/>
          <w:szCs w:val="24"/>
          <w:highlight w:val="none"/>
        </w:rPr>
        <w:t>（2）HFCs、PFCs、SF</w:t>
      </w:r>
      <w:r>
        <w:rPr>
          <w:rFonts w:hint="eastAsia" w:ascii="仿宋" w:hAnsi="仿宋" w:eastAsia="仿宋" w:cs="仿宋"/>
          <w:color w:val="auto"/>
          <w:sz w:val="24"/>
          <w:szCs w:val="24"/>
          <w:highlight w:val="none"/>
          <w:vertAlign w:val="subscript"/>
        </w:rPr>
        <w:t>6</w:t>
      </w:r>
      <w:r>
        <w:rPr>
          <w:rFonts w:hint="eastAsia" w:ascii="仿宋" w:hAnsi="仿宋" w:eastAsia="仿宋" w:cs="仿宋"/>
          <w:color w:val="auto"/>
          <w:sz w:val="24"/>
          <w:szCs w:val="24"/>
          <w:highlight w:val="none"/>
        </w:rPr>
        <w:t>、NF</w:t>
      </w:r>
      <w:r>
        <w:rPr>
          <w:rFonts w:hint="eastAsia" w:ascii="仿宋" w:hAnsi="仿宋" w:eastAsia="仿宋" w:cs="仿宋"/>
          <w:color w:val="auto"/>
          <w:sz w:val="24"/>
          <w:szCs w:val="24"/>
          <w:highlight w:val="none"/>
          <w:vertAlign w:val="subscript"/>
        </w:rPr>
        <w:t>3</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在景芳和临安大明山2个高精度温室气体监测点位进行采样，每两周一次，每次在上午9时和下午14时各采集一个样品，具体时间根据采购方要求调整。空白样和平行样按有效样品的5%采集。 </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（3）碳同位素</w:t>
      </w:r>
      <w:r>
        <w:rPr>
          <w:rFonts w:hint="eastAsia" w:ascii="仿宋" w:hAnsi="仿宋" w:eastAsia="仿宋" w:cs="仿宋"/>
          <w:color w:val="auto"/>
          <w:sz w:val="24"/>
          <w:szCs w:val="24"/>
          <w:highlight w:val="none"/>
          <w:vertAlign w:val="superscript"/>
        </w:rPr>
        <w:t>14</w:t>
      </w:r>
      <w:r>
        <w:rPr>
          <w:rFonts w:hint="eastAsia" w:ascii="仿宋" w:hAnsi="仿宋" w:eastAsia="仿宋" w:cs="仿宋"/>
          <w:color w:val="auto"/>
          <w:sz w:val="24"/>
          <w:szCs w:val="24"/>
          <w:highlight w:val="none"/>
        </w:rPr>
        <w:t>CO</w:t>
      </w:r>
      <w:r>
        <w:rPr>
          <w:rFonts w:hint="eastAsia" w:ascii="仿宋" w:hAnsi="仿宋" w:eastAsia="仿宋" w:cs="仿宋"/>
          <w:color w:val="auto"/>
          <w:sz w:val="24"/>
          <w:szCs w:val="24"/>
          <w:highlight w:val="none"/>
          <w:vertAlign w:val="subscript"/>
        </w:rPr>
        <w:t>2</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在景芳和临安大明山2个高精度温室气体监测点位进行采样，每周一次，下午14时采集一个空气样品，具体时间根据采购方要求调整。 </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1.2.2 采样系统</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（1）采样管布设</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每个采样点布设采样管，根据甲方采样点现有铁塔确定采样高度，采样口向下，安装除水半透膜或过滤器，防止雨水及颗粒物进入。采样管路材质对被测指标无污染、无吸附、不发生反应，内径一般为5mm～10mm。采样管采用卡箍固定，避免出现死弯以及凹陷，防止管线内积水。</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（2）地面采样系统</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地面采样系统至少包括除水装置、采样泵、压力表、采样容器和供电设备（包括蓄电池、外接电源），根据需要可增加安全装置（如安全阀）和流量控制装置（如转子流量计）等。</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①除水装置</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除水方式可选低温冷阱、半透膜干燥管或高氯酸镁干燥剂等除水方式，可根据采样点位环境湿度、实验室分析仪器受气态水的干扰程度和数据质量要求进行选择。</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②采样泵</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使用无油隔膜泵进行加压采样，泵及其内部接触气样部分应为惰性化材质，对被测指标无污染、无吸附、不发生反应。</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③采样容器。</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玻璃采样瓶（瓶体外侧应有防爆保护层）或内表面惰性化处理的不锈钢采样罐进行采样，采样容器的阀也采用惰性材质。采样容器大小根据分析方法所需样品量选择。双口采样容器的进气口和出气口若在同侧，进气口应伸入采样容器底。若可以在管路连接的情况下，实现单口采样容器的冲洗，也可采用单口采样容器采样。</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对每批次采样容器应进行空白试验和存储实验，确定所使用的采集容器满足要求质控要求。</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 采样流程</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（1）气路连接</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地面处采样管连接除水装置、采样泵、压力表、采样容器等。每次采样前，封闭采样泵至采样容器的气路及部件，检查气密性。要求封闭管路满足负压6.7 kPa以下，30s内负压下降≤0.2 kPa；或正压10 kPa下，1min内压力不变。对于双口采样容器，设置平行样的串联采集气路；对于单口采样容器，设置平行样并联采集气路。</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（2）采样系统冲洗</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先启动采样泵，打开除水装置，打开采样容器进气口和出气口的密封旋塞，在采样系统气路完全开通的情况下，在一定流速下（样品从采样口至采样容器的驻留时间不超过5min）对采样容器和连接管路进行充分冲洗，冲洗体积一般不小于采样容器体积的10倍。</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（3）样品采集</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冲洗结束后，关闭采样容器的出气口，利用采样泵将空气样品压缩进采样容器。采样容器内气压达到预定气压（根据采样容器耐压能力及样品分析量的要求确定，至少1.1倍大气压以上）后，关闭采样泵并立刻拧紧采样容器的进气口。从采样系统上卸下采样容器，贴好样品标识，放回装运箱。运输过程中应防止磕碰、泄漏和污染，送至实验室后及时分析。</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样品采集时，应记录监测点位信息、采样设备运行状况、采样容器信息、采样时间、气象条件、采样人员等相关信息。</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1.3样品分析</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根据实验室的仪器配置情况，选择光腔衰荡光谱法、离轴积分腔输出光谱法、气相色谱质谱法、非色散红外光谱法等方法进行样品分析，其中</w:t>
      </w:r>
      <w:r>
        <w:rPr>
          <w:rFonts w:hint="eastAsia" w:ascii="仿宋" w:hAnsi="仿宋" w:eastAsia="仿宋" w:cs="仿宋"/>
          <w:color w:val="auto"/>
          <w:sz w:val="24"/>
          <w:szCs w:val="24"/>
          <w:highlight w:val="none"/>
          <w:vertAlign w:val="superscript"/>
        </w:rPr>
        <w:t>14</w:t>
      </w:r>
      <w:r>
        <w:rPr>
          <w:rFonts w:hint="eastAsia" w:ascii="仿宋" w:hAnsi="仿宋" w:eastAsia="仿宋" w:cs="仿宋"/>
          <w:color w:val="auto"/>
          <w:sz w:val="24"/>
          <w:szCs w:val="24"/>
          <w:highlight w:val="none"/>
        </w:rPr>
        <w:t>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采用加速器质谱法进行分析。</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1.4质量保证和质量控制</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参照《城市碳监测试点质量控制与质量管理指南（试行）》文件要求。</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1.5数据分析</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（1）每周样品采集后，投标人于10个工作日内提交采样工作报告，包含采样记录、原始数据和分析结果等，供采购人审核确认，相关工作全部结束后1个月内提交一份总报告。</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（2）每季度提交1次数据分析报告，报告于本季度采样完成后15日内提交，相关工作全部结束后1个月内提交一份总分析报告。</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2.采样设备</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除日常采样所需设备以外，为配合中国环境监测总站做好手工监测技术指南的编制，投标人还需提供以下手工采样设备配合采购人开展手工监测相关研究。项目完成后，设备归采购人所有。</w:t>
      </w:r>
    </w:p>
    <w:tbl>
      <w:tblPr>
        <w:tblStyle w:val="920"/>
        <w:tblpPr w:leftFromText="180" w:rightFromText="180" w:vertAnchor="text" w:horzAnchor="page" w:tblpXSpec="center" w:tblpY="146"/>
        <w:tblOverlap w:val="never"/>
        <w:tblW w:w="6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4164"/>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39" w:type="dxa"/>
            <w:tcBorders>
              <w:top w:val="single" w:color="auto" w:sz="4" w:space="0"/>
              <w:left w:val="single" w:color="auto" w:sz="4" w:space="0"/>
              <w:bottom w:val="single" w:color="auto" w:sz="4" w:space="0"/>
              <w:right w:val="single" w:color="auto" w:sz="4" w:space="0"/>
            </w:tcBorders>
          </w:tcPr>
          <w:p>
            <w:pPr>
              <w:adjustRightIn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4164" w:type="dxa"/>
            <w:tcBorders>
              <w:top w:val="single" w:color="auto" w:sz="4" w:space="0"/>
              <w:left w:val="single" w:color="auto" w:sz="4" w:space="0"/>
              <w:bottom w:val="single" w:color="auto" w:sz="4" w:space="0"/>
              <w:right w:val="single" w:color="auto" w:sz="4" w:space="0"/>
            </w:tcBorders>
          </w:tcPr>
          <w:p>
            <w:pPr>
              <w:adjustRightIn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104" w:type="dxa"/>
            <w:tcBorders>
              <w:top w:val="single" w:color="auto" w:sz="4" w:space="0"/>
              <w:left w:val="single" w:color="auto" w:sz="4" w:space="0"/>
              <w:bottom w:val="single" w:color="auto" w:sz="4" w:space="0"/>
              <w:right w:val="single" w:color="auto" w:sz="4" w:space="0"/>
            </w:tcBorders>
          </w:tcPr>
          <w:p>
            <w:pPr>
              <w:adjustRightIn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3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Flask玻璃瓶</w:t>
            </w: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3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VOCs苏玛罐</w:t>
            </w: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3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4164"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VOCs苏玛罐</w:t>
            </w: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3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4164"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干燥管</w:t>
            </w: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3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4164"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真空泵</w:t>
            </w: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3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4164"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硅烷化不锈钢连接管路与转接阀（头）</w:t>
            </w:r>
          </w:p>
        </w:tc>
        <w:tc>
          <w:tcPr>
            <w:tcW w:w="11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8个</w:t>
            </w:r>
          </w:p>
        </w:tc>
      </w:tr>
    </w:tbl>
    <w:p>
      <w:pPr>
        <w:adjustRightInd w:val="0"/>
        <w:spacing w:line="360" w:lineRule="auto"/>
        <w:contextualSpacing/>
        <w:rPr>
          <w:rFonts w:hint="eastAsia" w:ascii="仿宋" w:hAnsi="仿宋" w:eastAsia="仿宋" w:cs="仿宋"/>
          <w:color w:val="auto"/>
          <w:sz w:val="24"/>
          <w:szCs w:val="24"/>
          <w:highlight w:val="none"/>
        </w:rPr>
      </w:pPr>
    </w:p>
    <w:p>
      <w:pPr>
        <w:adjustRightInd w:val="0"/>
        <w:spacing w:line="360" w:lineRule="auto"/>
        <w:contextualSpacing/>
        <w:rPr>
          <w:rFonts w:hint="eastAsia" w:ascii="仿宋" w:hAnsi="仿宋" w:eastAsia="仿宋" w:cs="仿宋"/>
          <w:b/>
          <w:color w:val="auto"/>
          <w:sz w:val="24"/>
          <w:szCs w:val="24"/>
          <w:highlight w:val="none"/>
        </w:rPr>
      </w:pPr>
    </w:p>
    <w:p>
      <w:pPr>
        <w:adjustRightInd w:val="0"/>
        <w:spacing w:line="360" w:lineRule="auto"/>
        <w:contextualSpacing/>
        <w:rPr>
          <w:rFonts w:hint="eastAsia" w:ascii="仿宋" w:hAnsi="仿宋" w:eastAsia="仿宋" w:cs="仿宋"/>
          <w:b/>
          <w:color w:val="auto"/>
          <w:sz w:val="24"/>
          <w:szCs w:val="24"/>
          <w:highlight w:val="none"/>
        </w:rPr>
      </w:pPr>
    </w:p>
    <w:p>
      <w:pPr>
        <w:adjustRightInd w:val="0"/>
        <w:spacing w:line="360" w:lineRule="auto"/>
        <w:contextualSpacing/>
        <w:rPr>
          <w:rFonts w:hint="eastAsia" w:ascii="仿宋" w:hAnsi="仿宋" w:eastAsia="仿宋" w:cs="仿宋"/>
          <w:b/>
          <w:color w:val="auto"/>
          <w:sz w:val="24"/>
          <w:szCs w:val="24"/>
          <w:highlight w:val="none"/>
        </w:rPr>
      </w:pPr>
    </w:p>
    <w:p>
      <w:pPr>
        <w:adjustRightInd w:val="0"/>
        <w:spacing w:line="360" w:lineRule="auto"/>
        <w:contextualSpacing/>
        <w:rPr>
          <w:rFonts w:hint="eastAsia" w:ascii="仿宋" w:hAnsi="仿宋" w:eastAsia="仿宋" w:cs="仿宋"/>
          <w:b/>
          <w:color w:val="auto"/>
          <w:sz w:val="24"/>
          <w:szCs w:val="24"/>
          <w:highlight w:val="none"/>
        </w:rPr>
      </w:pPr>
    </w:p>
    <w:p>
      <w:pPr>
        <w:adjustRightInd w:val="0"/>
        <w:spacing w:line="360" w:lineRule="auto"/>
        <w:contextualSpacing/>
        <w:rPr>
          <w:rFonts w:hint="eastAsia" w:ascii="仿宋" w:hAnsi="仿宋" w:eastAsia="仿宋" w:cs="仿宋"/>
          <w:b/>
          <w:color w:val="auto"/>
          <w:sz w:val="24"/>
          <w:szCs w:val="24"/>
          <w:highlight w:val="none"/>
        </w:rPr>
      </w:pPr>
    </w:p>
    <w:p>
      <w:pPr>
        <w:adjustRightInd w:val="0"/>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3.实验室设备要求</w:t>
      </w:r>
    </w:p>
    <w:p>
      <w:pPr>
        <w:pStyle w:val="26"/>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投标实验室配备至少2台空气预浓缩仪-气相色谱质谱联用仪；</w:t>
      </w:r>
    </w:p>
    <w:p>
      <w:pPr>
        <w:pStyle w:val="26"/>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投标实验室配备至少1台傅里叶红外光谱仪；</w:t>
      </w:r>
    </w:p>
    <w:p>
      <w:pPr>
        <w:pStyle w:val="26"/>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投标实验室配备至少2台ECD检测器-气相色谱仪；</w:t>
      </w:r>
    </w:p>
    <w:p>
      <w:pPr>
        <w:pStyle w:val="26"/>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投标实验室配备至少1台双FID检测器-气相色谱仪；</w:t>
      </w:r>
    </w:p>
    <w:p>
      <w:pPr>
        <w:pStyle w:val="26"/>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 投标实验室配备至少30个环境空气采样苏码罐；</w:t>
      </w:r>
    </w:p>
    <w:p>
      <w:pPr>
        <w:pStyle w:val="26"/>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 投标实验室配备至少6台环境空气正压采样器。</w:t>
      </w:r>
    </w:p>
    <w:p>
      <w:pPr>
        <w:adjustRightInd w:val="0"/>
        <w:spacing w:line="360" w:lineRule="auto"/>
        <w:contextualSpacing/>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（二）走航及无人机监测</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利用无人机、走航车等方式开展城市CO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浓度立体监测，为近地面CO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浓度提供比对数据。</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2.1监测方法</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（1）走航CO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柱)浓度监测：利用走航车搭载高精度温室气体监测设备，采用非分散红外吸收法(NDIR)、傅里叶变换红外光谱法(FTIR)或光腔衰荡光谱法在线监测，采用高密度网格化固定点位监测或连续移动监测方式开展地面监测和垂直柱浓度监测。</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（2）无人机CO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浓度监测：利用无人机搭载温室气体监测设备，采用非分散红外法(NDIR)实时监测。</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2.2监测频次</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在6个高精度监测点位及其周边，每季度选择典型月份通过走航和无人机进行1次网格化监测，每个站点每次监测时间不少于5天。</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2.3具体要求</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（1）走航监测</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①监测仪器精度满足CO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分辨率＜0.1ppm；CH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分辨率＜0.02ppm；</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②时间分辨率：CO2＜5s，CH4＜5s；</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③示值误差：CO2＜30ppb（5min），CH4＜0.3ppb（5min）；</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④每次走航前后，数据需要溯源到世界气象组织（WMO）CO2和CH4浓度标尺；</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⑤除隧道外，监测数据需要和 GPS 位置匹配。</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（2）柱浓度走航监测</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①监测仪器精度满足CO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分辨率＜0.1ppm，CH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分辨率＜0.02ppm，光谱分辨率满足＜0.5cm</w:t>
      </w:r>
      <w:r>
        <w:rPr>
          <w:rFonts w:hint="eastAsia" w:ascii="仿宋" w:hAnsi="仿宋" w:eastAsia="仿宋" w:cs="仿宋"/>
          <w:color w:val="auto"/>
          <w:sz w:val="24"/>
          <w:szCs w:val="24"/>
          <w:highlight w:val="none"/>
          <w:vertAlign w:val="superscript"/>
        </w:rPr>
        <w:t>-1</w:t>
      </w:r>
      <w:r>
        <w:rPr>
          <w:rFonts w:hint="eastAsia" w:ascii="仿宋" w:hAnsi="仿宋" w:eastAsia="仿宋" w:cs="仿宋"/>
          <w:color w:val="auto"/>
          <w:sz w:val="24"/>
          <w:szCs w:val="24"/>
          <w:highlight w:val="none"/>
        </w:rPr>
        <w:t>。</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②时间分辨率：晴好天气下，每小时不少于5次；</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③示值误差：XCO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≤1ppm，XCH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≤10ppb（5min）；</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④使用国际地基柱浓度观测网络的通用算法反演二氧化碳柱浓度和甲烷柱浓度。</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（3）无人机监测</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①监测仪器精度满足CO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分辨率＜0.2ppm；CH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分辨率＜0.03ppm。</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②响应时间：CO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＜20s，CH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＜30s；</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③示值误差：CO</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≤±3ppm或1%读数，CH</w:t>
      </w:r>
      <w:r>
        <w:rPr>
          <w:rFonts w:hint="eastAsia" w:ascii="仿宋" w:hAnsi="仿宋" w:eastAsia="仿宋" w:cs="仿宋"/>
          <w:color w:val="auto"/>
          <w:sz w:val="24"/>
          <w:szCs w:val="24"/>
          <w:highlight w:val="none"/>
          <w:vertAlign w:val="subscript"/>
        </w:rPr>
        <w:t>4</w:t>
      </w:r>
      <w:r>
        <w:rPr>
          <w:rFonts w:hint="eastAsia" w:ascii="仿宋" w:hAnsi="仿宋" w:eastAsia="仿宋" w:cs="仿宋"/>
          <w:color w:val="auto"/>
          <w:sz w:val="24"/>
          <w:szCs w:val="24"/>
          <w:highlight w:val="none"/>
        </w:rPr>
        <w:t>≤0.1%；</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④需集成监测设备和无人机的相关数据，并自行申请空域。</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（4）分析报告</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监测结束后10个工作日内提交分析报告。</w:t>
      </w:r>
    </w:p>
    <w:p>
      <w:pPr>
        <w:adjustRightIn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（三）付款方式</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3.1合同签订后5个工作日内，采购人向中标人支付合同金额的70%；</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2022年12月10日前，采购人向中标人支付合同金额的25%；</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3.3验收合格后支付合同金额的5%。</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3.4付款按财政政策执行，因中标人未按合同履行任务或不符合财政资金支付时间要求等原因造成不能及时付款的，采购人不承担责任。</w:t>
      </w:r>
    </w:p>
    <w:p>
      <w:pPr>
        <w:adjustRightIn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（四）人员及车辆要求</w:t>
      </w:r>
    </w:p>
    <w:p>
      <w:pPr>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4.1为保证项目顺利实施，项目组工作人员至少15人，其中包括项目负责人1名，现场采样技术人员10名，样品分析技术人员2名，数据分析技术人员2名。</w:t>
      </w:r>
    </w:p>
    <w:p>
      <w:pPr>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4.2 项目负责人具有环保类、检测分析类等相关环境检测专业高级及以上职称。</w:t>
      </w:r>
    </w:p>
    <w:p>
      <w:pPr>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4.3样品分析技术人员和数据分析技术人员需具有中级及以上职称。</w:t>
      </w:r>
    </w:p>
    <w:p>
      <w:pPr>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4.4另配备1名专职工作人员，具有中级及以上职称，负责与</w:t>
      </w:r>
      <w:r>
        <w:rPr>
          <w:rFonts w:hint="eastAsia" w:ascii="仿宋" w:hAnsi="仿宋" w:eastAsia="仿宋" w:cs="仿宋"/>
          <w:color w:val="auto"/>
          <w:sz w:val="24"/>
          <w:szCs w:val="24"/>
          <w:highlight w:val="none"/>
        </w:rPr>
        <w:t>采购人</w:t>
      </w:r>
      <w:r>
        <w:rPr>
          <w:rFonts w:hint="eastAsia" w:ascii="仿宋" w:hAnsi="仿宋" w:eastAsia="仿宋" w:cs="仿宋"/>
          <w:bCs/>
          <w:color w:val="auto"/>
          <w:sz w:val="24"/>
          <w:szCs w:val="24"/>
          <w:highlight w:val="none"/>
        </w:rPr>
        <w:t>进行任务对接、工作协调、数据汇总、整理与报送工作。</w:t>
      </w:r>
    </w:p>
    <w:p>
      <w:pPr>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4.5除走航车外，投标人为本项目配备的车辆不少于6辆。</w:t>
      </w:r>
    </w:p>
    <w:p>
      <w:pPr>
        <w:pStyle w:val="2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（五）保密要求</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需对所有监测数据及相关信息资料保密，未经采购</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书面许可不得以任何方式公开展示、发表或透露给第三方。参与本项目服务的中标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及所有人员，对工作中所涉的数据、资料及文件等负有保密义务，任何情况不得向第三方泄露。如存在上述情况，将按严重违约行为依法追究中标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相关责任。</w:t>
      </w:r>
    </w:p>
    <w:p>
      <w:pPr>
        <w:adjustRightIn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（六）其他要求</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项目涉及的一切人工、交通、设备、材料、车辆、电力、通讯传输等费用均由投标人承担。</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项目招标结束后需立即开展相关工作，中标人需提前做好相关准备，包括但不限于人员、设备、车辆等。</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 项目实施过程中的安全生产责任由中标人负责，包括但不限于无人机安全责任等。</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6.4本项目合同期内中标人未按要求履行合同，采购人有权要求中标人进行改进，整改所发生的一切费用由中标人承担。</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 中标人出现以下行为的，采购人有权终止合同，情节严重者，将予以通报，给采购</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造成损失的，按实际损失进行赔偿：</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（1）未经采购人书面许可公开展示、发表或透露监测结果给第三方的；</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（2）出现调整数据等弄虚作假行为的；</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（3）其他有损采购方利益的行为。</w:t>
      </w:r>
    </w:p>
    <w:p>
      <w:pPr>
        <w:pStyle w:val="26"/>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6.6</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除不可抗力外，如果</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没有按照本合同约定的期限、地点和方式完成约定服务内容，那么采购人有权要求</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支付违约金，违约金按每迟延一日为合同总价的1%计算，最高限额为本合同总价的20%；超过约定日期的违约金计算数额达到前述最高限额之日起，</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有权在要求</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支付违约金的同时，书面通知</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解除本合同，索回前期已支付的相应费用。</w:t>
      </w:r>
    </w:p>
    <w:p>
      <w:pP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br w:type="page"/>
      </w:r>
    </w:p>
    <w:p>
      <w:pPr>
        <w:keepNext w:val="0"/>
        <w:keepLines w:val="0"/>
        <w:pageBreakBefore w:val="0"/>
        <w:kinsoku/>
        <w:wordWrap/>
        <w:overflowPunct/>
        <w:topLinePunct w:val="0"/>
        <w:bidi w:val="0"/>
        <w:adjustRightInd w:val="0"/>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标项二：杭州市温室气体同化反演及通量核算服务</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一、项目概况</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color w:val="auto"/>
          <w:sz w:val="24"/>
          <w:highlight w:val="none"/>
        </w:rPr>
        <w:t>根</w:t>
      </w:r>
      <w:r>
        <w:rPr>
          <w:rFonts w:hint="eastAsia" w:ascii="仿宋" w:hAnsi="仿宋" w:eastAsia="仿宋" w:cs="仿宋"/>
          <w:bCs/>
          <w:color w:val="auto"/>
          <w:sz w:val="24"/>
          <w:highlight w:val="none"/>
        </w:rPr>
        <w:t>据生态环境部下发的《碳监测评估试点工作方案》、</w:t>
      </w:r>
      <w:r>
        <w:rPr>
          <w:rFonts w:hint="eastAsia" w:ascii="仿宋" w:hAnsi="仿宋" w:eastAsia="仿宋" w:cs="仿宋"/>
          <w:color w:val="auto"/>
          <w:sz w:val="24"/>
          <w:highlight w:val="none"/>
        </w:rPr>
        <w:t>《城市大气二氧化碳（CO</w:t>
      </w:r>
      <w:r>
        <w:rPr>
          <w:rFonts w:hint="eastAsia" w:ascii="仿宋" w:hAnsi="仿宋" w:eastAsia="仿宋" w:cs="仿宋"/>
          <w:color w:val="auto"/>
          <w:sz w:val="24"/>
          <w:highlight w:val="none"/>
          <w:vertAlign w:val="subscript"/>
        </w:rPr>
        <w:t>2</w:t>
      </w:r>
      <w:r>
        <w:rPr>
          <w:rFonts w:hint="eastAsia" w:ascii="仿宋" w:hAnsi="仿宋" w:eastAsia="仿宋" w:cs="仿宋"/>
          <w:color w:val="auto"/>
          <w:sz w:val="24"/>
          <w:highlight w:val="none"/>
        </w:rPr>
        <w:t>）同化反演试点方案编制技术指南（第一版）》</w:t>
      </w:r>
      <w:r>
        <w:rPr>
          <w:rFonts w:hint="eastAsia" w:ascii="仿宋" w:hAnsi="仿宋" w:eastAsia="仿宋" w:cs="仿宋"/>
          <w:bCs/>
          <w:color w:val="auto"/>
          <w:sz w:val="24"/>
          <w:highlight w:val="none"/>
        </w:rPr>
        <w:t>，要求开展重点行业、城市、区域三个层面的碳监测评估及碳同化反演试点工作，</w:t>
      </w:r>
      <w:r>
        <w:rPr>
          <w:rFonts w:hint="eastAsia" w:ascii="仿宋" w:hAnsi="仿宋" w:eastAsia="仿宋" w:cs="仿宋"/>
          <w:bCs/>
          <w:color w:val="auto"/>
          <w:kern w:val="24"/>
          <w:sz w:val="24"/>
          <w:highlight w:val="none"/>
        </w:rPr>
        <w:t>探索建立碳监测评估技术方法体系，形成业务化运行模式，总结经验做法，发挥示范效应，为应对气候变化工作成效评估提供数据支撑</w:t>
      </w:r>
      <w:r>
        <w:rPr>
          <w:rFonts w:hint="eastAsia" w:ascii="仿宋" w:hAnsi="仿宋" w:eastAsia="仿宋" w:cs="仿宋"/>
          <w:bCs/>
          <w:color w:val="auto"/>
          <w:sz w:val="24"/>
          <w:highlight w:val="none"/>
        </w:rPr>
        <w:t>。本标项主要是针对杭州市温室气体监测评估、排放反演及通量核算服务进行招标。</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二、项目内容</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项目利用手工监测、高精度监测、无人机及走航监测、卫星遥感等产生的监测数据，结合同化算法、数值模式等手段，提供杭州市温室气体同化反演及通量核算服务，开展杭州市温室气体监测数据分析、温室气体高分辨率源清单反演、生态系统碳通量反演等工作,并进行杭州市碳监测试点综合应用与成效评估分析。具体内容如下：</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（一）统筹杭州市天地空多源观测数据，包括温室气体地面观测、移动观测、卫星观测数据及气象数据，强化数据处理技术的研发；</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（二）通过区域多模式集合反演，实现杭州市多源温室气体监测数据同化，实现杭州市温室气体排放产品动态更新；</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（三）结合卫星遥感数据和生态BEPS模型，分析杭州市碳通量的时空分布特征，了解影响碳通量和碳循环的关键因素；</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（四）按要求展示温室气体监测数据、基础清单及模型反演结果。</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五）开展温室气体多源监测数据分析，包括手工采样监测数据、无人机及走航监测数据及固定站点在线监测数据和通量监测数据的分析，从监测层面直观了解区域温室气体排放现状，同步开展与模型同化反演及模拟结果的有效校验及比对分析工作。</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二、技术要求</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（一）、模型算法</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rPr>
        <w:t>驱动场模型</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本项目驱动场模型需采用WRF模型，制定杭州市本地化参数配置和运行方案，为温室气体同化反演提供高分辨率气象驱动场。具体技术指标要求如下：</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（1）WRF模型版本至少达到WRF V4.2，从而进一步为化学传输模型提供高精度气象驱动场；</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（2）基于多维气象资料数据同化算法，实现WRF气象模型精准的四维气象场模拟；（</w:t>
      </w:r>
      <w:r>
        <w:rPr>
          <w:rFonts w:hint="eastAsia" w:ascii="仿宋" w:hAnsi="仿宋" w:eastAsia="仿宋" w:cs="仿宋"/>
          <w:b/>
          <w:color w:val="auto"/>
          <w:sz w:val="24"/>
          <w:highlight w:val="none"/>
        </w:rPr>
        <w:t>投标人需提供详细的气象同化方案</w:t>
      </w:r>
      <w:r>
        <w:rPr>
          <w:rFonts w:hint="eastAsia" w:ascii="仿宋" w:hAnsi="仿宋" w:eastAsia="仿宋" w:cs="仿宋"/>
          <w:bCs/>
          <w:color w:val="auto"/>
          <w:sz w:val="24"/>
          <w:highlight w:val="none"/>
        </w:rPr>
        <w:t>）</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（3）模型水平方向需采用27km×9km×3km×1km四重嵌套网格设置；垂直分层至少35层，其中边界层内有15层；可实现风、温、湿、压等气象要素三维空间场模拟；</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（4）模型需同时考虑大气的水平和垂直变化等物理过程；</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（5）模型需使用高分辨率遥感地形及地表覆盖数据（包括地形条件、城市分布情况、植被分布状况等），明确本地化参数方案。</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rPr>
        <w:t>温室气体多模式集合反演</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本项目需基于天地空一体化的多源温室气体监测数据，集成至少三种不同的反演模式，开展杭州市温室气体排放反演研究，通过多套反演模式结果的研究比对，提升项目成果的可靠性与可解释性。具体技术要求指标如下：</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（1）反演模型要求反演至少包括CO</w:t>
      </w:r>
      <w:r>
        <w:rPr>
          <w:rFonts w:hint="eastAsia" w:ascii="仿宋" w:hAnsi="仿宋" w:eastAsia="仿宋" w:cs="仿宋"/>
          <w:bCs/>
          <w:color w:val="auto"/>
          <w:sz w:val="24"/>
          <w:highlight w:val="none"/>
          <w:vertAlign w:val="subscript"/>
        </w:rPr>
        <w:t>2</w:t>
      </w:r>
      <w:r>
        <w:rPr>
          <w:rFonts w:hint="eastAsia" w:ascii="仿宋" w:hAnsi="仿宋" w:eastAsia="仿宋" w:cs="仿宋"/>
          <w:bCs/>
          <w:color w:val="auto"/>
          <w:sz w:val="24"/>
          <w:highlight w:val="none"/>
        </w:rPr>
        <w:t>、CH</w:t>
      </w:r>
      <w:r>
        <w:rPr>
          <w:rFonts w:hint="eastAsia" w:ascii="仿宋" w:hAnsi="仿宋" w:eastAsia="仿宋" w:cs="仿宋"/>
          <w:bCs/>
          <w:color w:val="auto"/>
          <w:sz w:val="24"/>
          <w:highlight w:val="none"/>
          <w:vertAlign w:val="subscript"/>
        </w:rPr>
        <w:t>4</w:t>
      </w:r>
      <w:r>
        <w:rPr>
          <w:rFonts w:hint="eastAsia" w:ascii="仿宋" w:hAnsi="仿宋" w:eastAsia="仿宋" w:cs="仿宋"/>
          <w:bCs/>
          <w:color w:val="auto"/>
          <w:sz w:val="24"/>
          <w:highlight w:val="none"/>
        </w:rPr>
        <w:t>等温室气体的地表排放；</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（2）反演模型要求实现反演模式业务化运行，至少每周运行一次，输出优化后的温室气体地表通量和大气浓度产品；</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（3）反演的温室气体通量的时间分辨率要求≤1天，同化的温室气体大气浓度的时间分辨率≤3小时；</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（4）反演模型空间分辨率与WRF模型一致，采用4层嵌套，最内层覆盖杭州市主城区，分辨率为1km；</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（5）同化算法能够实现以卫星、地面站点、无人机及走航等多源观测的温室气体数据的同化；（</w:t>
      </w:r>
      <w:r>
        <w:rPr>
          <w:rFonts w:hint="eastAsia" w:ascii="仿宋" w:hAnsi="仿宋" w:eastAsia="仿宋" w:cs="仿宋"/>
          <w:b/>
          <w:color w:val="auto"/>
          <w:sz w:val="24"/>
          <w:highlight w:val="none"/>
        </w:rPr>
        <w:t>投标人需提供碳监测数据同化反演相关技术证明材料</w:t>
      </w:r>
      <w:r>
        <w:rPr>
          <w:rFonts w:hint="eastAsia" w:ascii="仿宋" w:hAnsi="仿宋" w:eastAsia="仿宋" w:cs="仿宋"/>
          <w:bCs/>
          <w:color w:val="auto"/>
          <w:sz w:val="24"/>
          <w:highlight w:val="none"/>
        </w:rPr>
        <w:t>）</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生态系统碳通量模型</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基于多源卫星遥感监测数据，利用生态系统BEPS模型，模拟计算杭州市生态系统网格化的碳通量，明确自然源对于网格内碳浓度的贡献比例，同时充分利用碳通量在线数据进行对比校验。具体技术要求指标如下：</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（1）生态系统模型模拟要求采用最新的（2019年及以后）遥感地表覆盖数据及最新的遥感叶面积指数和聚集度指数数据作为驱动数据；</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（2）生态系统模型要求能够实现多源遥感地表参数同化，以改进模型对杭州市陆地生态系统碳通量的模拟效果；</w:t>
      </w:r>
    </w:p>
    <w:p>
      <w:pPr>
        <w:adjustRightInd w:val="0"/>
        <w:spacing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（3）模型时间分辨率为1小时；空间分辨率在杭州市达到1km。</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（二）、数据管理及成果展示</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温室</w:t>
      </w:r>
      <w:r>
        <w:rPr>
          <w:rFonts w:ascii="仿宋" w:hAnsi="仿宋" w:eastAsia="仿宋" w:cs="仿宋"/>
          <w:color w:val="auto"/>
          <w:sz w:val="24"/>
          <w:highlight w:val="none"/>
        </w:rPr>
        <w:t>气体监测数据</w:t>
      </w:r>
      <w:r>
        <w:rPr>
          <w:rFonts w:hint="eastAsia" w:ascii="仿宋" w:hAnsi="仿宋" w:eastAsia="仿宋" w:cs="仿宋"/>
          <w:color w:val="auto"/>
          <w:sz w:val="24"/>
          <w:highlight w:val="none"/>
        </w:rPr>
        <w:t>需</w:t>
      </w:r>
      <w:r>
        <w:rPr>
          <w:rFonts w:ascii="仿宋" w:hAnsi="仿宋" w:eastAsia="仿宋" w:cs="仿宋"/>
          <w:color w:val="auto"/>
          <w:sz w:val="24"/>
          <w:highlight w:val="none"/>
        </w:rPr>
        <w:t>根据总站下发的</w:t>
      </w:r>
      <w:r>
        <w:rPr>
          <w:rFonts w:hint="eastAsia" w:ascii="仿宋" w:hAnsi="仿宋" w:eastAsia="仿宋" w:cs="仿宋"/>
          <w:color w:val="auto"/>
          <w:sz w:val="24"/>
          <w:highlight w:val="none"/>
        </w:rPr>
        <w:t>《城市</w:t>
      </w:r>
      <w:r>
        <w:rPr>
          <w:rFonts w:ascii="仿宋" w:hAnsi="仿宋" w:eastAsia="仿宋" w:cs="仿宋"/>
          <w:color w:val="auto"/>
          <w:sz w:val="24"/>
          <w:highlight w:val="none"/>
        </w:rPr>
        <w:t>大气温室气体试点监测数据联网工作</w:t>
      </w:r>
      <w:r>
        <w:rPr>
          <w:rFonts w:hint="eastAsia" w:ascii="仿宋" w:hAnsi="仿宋" w:eastAsia="仿宋" w:cs="仿宋"/>
          <w:color w:val="auto"/>
          <w:sz w:val="24"/>
          <w:highlight w:val="none"/>
        </w:rPr>
        <w:t>实施</w:t>
      </w:r>
      <w:r>
        <w:rPr>
          <w:rFonts w:ascii="仿宋" w:hAnsi="仿宋" w:eastAsia="仿宋" w:cs="仿宋"/>
          <w:color w:val="auto"/>
          <w:sz w:val="24"/>
          <w:highlight w:val="none"/>
        </w:rPr>
        <w:t>方案</w:t>
      </w:r>
      <w:r>
        <w:rPr>
          <w:rFonts w:hint="eastAsia" w:ascii="仿宋" w:hAnsi="仿宋" w:eastAsia="仿宋" w:cs="仿宋"/>
          <w:color w:val="auto"/>
          <w:sz w:val="24"/>
          <w:highlight w:val="none"/>
        </w:rPr>
        <w:t>》进行</w:t>
      </w:r>
      <w:r>
        <w:rPr>
          <w:rFonts w:ascii="仿宋" w:hAnsi="仿宋" w:eastAsia="仿宋" w:cs="仿宋"/>
          <w:color w:val="auto"/>
          <w:sz w:val="24"/>
          <w:highlight w:val="none"/>
        </w:rPr>
        <w:t>数据传输</w:t>
      </w:r>
      <w:r>
        <w:rPr>
          <w:rFonts w:hint="eastAsia" w:ascii="仿宋" w:hAnsi="仿宋" w:eastAsia="仿宋" w:cs="仿宋"/>
          <w:color w:val="auto"/>
          <w:sz w:val="24"/>
          <w:highlight w:val="none"/>
        </w:rPr>
        <w:t>，并按要求接入杭州市生态智卫以及采购方指定的其他系统进行管理，数据分析结果、基础清单及模型反演结果等按采购方要求进行展示。</w:t>
      </w:r>
    </w:p>
    <w:p>
      <w:pPr>
        <w:adjustRightInd w:val="0"/>
        <w:snapToGrid w:val="0"/>
        <w:spacing w:line="360" w:lineRule="auto"/>
        <w:ind w:firstLine="420" w:firstLineChars="200"/>
        <w:jc w:val="left"/>
        <w:rPr>
          <w:rFonts w:ascii="仿宋" w:hAnsi="仿宋" w:eastAsia="仿宋" w:cs="仿宋"/>
          <w:color w:val="auto"/>
          <w:sz w:val="24"/>
          <w:highlight w:val="none"/>
        </w:rPr>
      </w:pPr>
      <w:r>
        <w:rPr>
          <w:rFonts w:hint="eastAsia" w:ascii="仿宋" w:hAnsi="仿宋" w:eastAsia="仿宋"/>
          <w:color w:val="auto"/>
          <w:highlight w:val="none"/>
        </w:rPr>
        <w:t>项目所产生的温室气体监测数据及温室气体监测应用评估成果</w:t>
      </w:r>
      <w:r>
        <w:rPr>
          <w:rFonts w:hint="eastAsia" w:ascii="仿宋" w:hAnsi="仿宋" w:eastAsia="仿宋" w:cs="仿宋"/>
          <w:color w:val="auto"/>
          <w:sz w:val="24"/>
          <w:highlight w:val="none"/>
        </w:rPr>
        <w:t>遵循杭州生态智卫平台数据接入规范等相关要求，按照应归集尽归集的原则，根据数据类型和应用途径做好归纳、清洗、结构化、压缩等数据生产工作，按需提供数据、通用组件、标准化服务或接口，负责做好相关展示界面的开发及数据推送工作，配合做好页面嵌入和数据入库工作，确保成果应用效益最大化。</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监测数据管理</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1.1 数据存储</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开发数据集成管理方法技术，内容包括温室气体监测站点列表、仪器在线监控信息、原始数据、审核数据等，并对监测的数据进行储存统计。具体技术指标要求如下：</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（1）将杭州市区范围内所有的温室气体地面监测站点罗列，引入GIS的信息化显示技术直观展示各站点空间分布情况；</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（2）实现站点名称、经纬度、监测组分类型等参数的展示；</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（3）实现仪器设备在线运行状态监控，实时查看各站点仪器运行参数是否正常；</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（4）实现原始数据的汇总存储，实现选择不同站点、不同温室气体、不同时段查看监测数据和变化情况；</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（5）实现原始数据的更正、审核操作，可自由选择不同时段、不同站点、不同温室气体或监测仪器查看经过审核算法判断后的监测数据；</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（6）实现温室气体监测数据的查询及导出功能。</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1.2 数据分析</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进行多点位温室气体在线监测数据、温室气体通量监测数据及气象数据综合分析，分析结果按采购</w:t>
      </w:r>
      <w:r>
        <w:rPr>
          <w:rFonts w:hint="eastAsia" w:ascii="仿宋" w:hAnsi="仿宋" w:eastAsia="仿宋" w:cs="仿宋"/>
          <w:color w:val="auto"/>
          <w:sz w:val="24"/>
          <w:highlight w:val="none"/>
          <w:lang w:val="en-US" w:eastAsia="zh-CN"/>
        </w:rPr>
        <w:t>人</w:t>
      </w:r>
      <w:r>
        <w:rPr>
          <w:rFonts w:hint="eastAsia" w:ascii="仿宋" w:hAnsi="仿宋" w:eastAsia="仿宋" w:cs="仿宋"/>
          <w:color w:val="auto"/>
          <w:sz w:val="24"/>
          <w:highlight w:val="none"/>
        </w:rPr>
        <w:t>要求进行展示。具体技术指标要求如下：</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（1）不同时间段、不同站点监测数据分析；</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（2）单个站点多要素的对比分析，包括不同温室气体与不同气象要素的对比分析；</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（3）多个站点单要素与多要素对比分析，包括多站点单个温室气体或单个气象要素的分析、多站点多温室气体及气象要素的综合性对比分析；</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（4）单个站点或多个站点碳通量监测数据的对比分析，同步支持与气象要素的综合性分析。</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温室气体排放反演</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提供温室气体动态反演产品，并按要求进行展示，具体技术指标要求如下：</w:t>
      </w:r>
    </w:p>
    <w:p>
      <w:pPr>
        <w:adjustRightInd w:val="0"/>
        <w:snapToGrid w:val="0"/>
        <w:spacing w:line="360" w:lineRule="auto"/>
        <w:ind w:firstLine="480" w:firstLineChars="200"/>
        <w:jc w:val="left"/>
        <w:rPr>
          <w:color w:val="auto"/>
          <w:highlight w:val="none"/>
        </w:rPr>
      </w:pPr>
      <w:r>
        <w:rPr>
          <w:rFonts w:hint="eastAsia" w:ascii="仿宋" w:hAnsi="仿宋" w:eastAsia="仿宋" w:cs="仿宋"/>
          <w:color w:val="auto"/>
          <w:sz w:val="24"/>
          <w:highlight w:val="none"/>
        </w:rPr>
        <w:t>（1）提供基础清单及多套动态反演产品结果，并进行动态更新展示；（</w:t>
      </w:r>
      <w:r>
        <w:rPr>
          <w:rFonts w:hint="eastAsia" w:ascii="仿宋" w:hAnsi="仿宋" w:eastAsia="仿宋" w:cs="仿宋"/>
          <w:b/>
          <w:bCs/>
          <w:color w:val="auto"/>
          <w:sz w:val="24"/>
          <w:highlight w:val="none"/>
        </w:rPr>
        <w:t>投标人需提供排放反演相关技术证明材料</w:t>
      </w:r>
      <w:r>
        <w:rPr>
          <w:rFonts w:hint="eastAsia" w:ascii="仿宋" w:hAnsi="仿宋" w:eastAsia="仿宋" w:cs="仿宋"/>
          <w:color w:val="auto"/>
          <w:sz w:val="24"/>
          <w:highlight w:val="none"/>
        </w:rPr>
        <w:t>）</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（2）提供任意时间段温室气体排放产品（数据结果及图形展示结果），根据采购</w:t>
      </w:r>
      <w:r>
        <w:rPr>
          <w:rFonts w:hint="eastAsia" w:ascii="仿宋" w:hAnsi="仿宋" w:eastAsia="仿宋" w:cs="仿宋"/>
          <w:color w:val="auto"/>
          <w:sz w:val="24"/>
          <w:highlight w:val="none"/>
          <w:lang w:val="en-US" w:eastAsia="zh-CN"/>
        </w:rPr>
        <w:t>人</w:t>
      </w:r>
      <w:r>
        <w:rPr>
          <w:rFonts w:hint="eastAsia" w:ascii="仿宋" w:hAnsi="仿宋" w:eastAsia="仿宋" w:cs="仿宋"/>
          <w:color w:val="auto"/>
          <w:sz w:val="24"/>
          <w:highlight w:val="none"/>
        </w:rPr>
        <w:t xml:space="preserve">不同的需求，提供空间分布产品、时间序列产品等； </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ascii="仿宋" w:hAnsi="仿宋" w:eastAsia="仿宋" w:cs="仿宋"/>
          <w:color w:val="auto"/>
          <w:sz w:val="24"/>
          <w:highlight w:val="none"/>
        </w:rPr>
        <w:t>3</w:t>
      </w:r>
      <w:r>
        <w:rPr>
          <w:rFonts w:hint="eastAsia" w:ascii="仿宋" w:hAnsi="仿宋" w:eastAsia="仿宋" w:cs="仿宋"/>
          <w:color w:val="auto"/>
          <w:sz w:val="24"/>
          <w:highlight w:val="none"/>
        </w:rPr>
        <w:t>）展示杭州市不同行政区域的温室气体排放量、不同行政区域及不同时段内温室气体排放量的变化情况；</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ascii="仿宋" w:hAnsi="仿宋" w:eastAsia="仿宋" w:cs="仿宋"/>
          <w:color w:val="auto"/>
          <w:sz w:val="24"/>
          <w:highlight w:val="none"/>
        </w:rPr>
        <w:t>4</w:t>
      </w:r>
      <w:r>
        <w:rPr>
          <w:rFonts w:hint="eastAsia" w:ascii="仿宋" w:hAnsi="仿宋" w:eastAsia="仿宋" w:cs="仿宋"/>
          <w:color w:val="auto"/>
          <w:sz w:val="24"/>
          <w:highlight w:val="none"/>
        </w:rPr>
        <w:t>）根据采购</w:t>
      </w:r>
      <w:r>
        <w:rPr>
          <w:rFonts w:hint="eastAsia" w:ascii="仿宋" w:hAnsi="仿宋" w:eastAsia="仿宋" w:cs="仿宋"/>
          <w:color w:val="auto"/>
          <w:sz w:val="24"/>
          <w:highlight w:val="none"/>
          <w:lang w:val="en-US" w:eastAsia="zh-CN"/>
        </w:rPr>
        <w:t>人</w:t>
      </w:r>
      <w:r>
        <w:rPr>
          <w:rFonts w:hint="eastAsia" w:ascii="仿宋" w:hAnsi="仿宋" w:eastAsia="仿宋" w:cs="仿宋"/>
          <w:color w:val="auto"/>
          <w:sz w:val="24"/>
          <w:highlight w:val="none"/>
        </w:rPr>
        <w:t>的其他需求提供数据统计结果和温室气体排放反演产品。</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生态系统碳通量模拟</w:t>
      </w:r>
    </w:p>
    <w:p>
      <w:pPr>
        <w:adjustRightInd w:val="0"/>
        <w:snapToGrid w:val="0"/>
        <w:spacing w:line="360" w:lineRule="auto"/>
        <w:ind w:firstLine="482"/>
        <w:jc w:val="left"/>
        <w:rPr>
          <w:rFonts w:ascii="仿宋" w:hAnsi="仿宋" w:eastAsia="仿宋" w:cs="仿宋"/>
          <w:color w:val="auto"/>
          <w:sz w:val="24"/>
          <w:highlight w:val="none"/>
        </w:rPr>
      </w:pPr>
      <w:r>
        <w:rPr>
          <w:rFonts w:hint="eastAsia" w:ascii="仿宋" w:hAnsi="仿宋" w:eastAsia="仿宋" w:cs="仿宋"/>
          <w:color w:val="auto"/>
          <w:sz w:val="24"/>
          <w:highlight w:val="none"/>
        </w:rPr>
        <w:t>提供生态碳通量模拟结果，并按要求进行展示，具体技术指标要求如下：</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（1）进行杭州市不同时间段不同行政区域的生态系统碳通量时空分布特征分析；</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（2）针对杭州市不同行政区域的碳通量进行模拟评估；</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（3）根据采购</w:t>
      </w:r>
      <w:r>
        <w:rPr>
          <w:rFonts w:hint="eastAsia" w:ascii="仿宋" w:hAnsi="仿宋" w:eastAsia="仿宋" w:cs="仿宋"/>
          <w:color w:val="auto"/>
          <w:sz w:val="24"/>
          <w:highlight w:val="none"/>
          <w:lang w:val="en-US" w:eastAsia="zh-CN"/>
        </w:rPr>
        <w:t>人</w:t>
      </w:r>
      <w:r>
        <w:rPr>
          <w:rFonts w:hint="eastAsia" w:ascii="仿宋" w:hAnsi="仿宋" w:eastAsia="仿宋" w:cs="仿宋"/>
          <w:color w:val="auto"/>
          <w:sz w:val="24"/>
          <w:highlight w:val="none"/>
        </w:rPr>
        <w:t>的其他需求提供数据统计结果和生态系统碳通量模拟产品。</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（三）杭州市碳监测试点综合应用与成效评估</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需对杭州温室气体监测站点、温室气体监测数据、模型反演核算结果进行综合评估分析，具体指标要求如下：</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（1）基于杭州市多源温室气体监测数据，开展包括温室气体手工采样监测数据、固定站点在线温室气体监测数据、无人机及走航监测数据和通量监测数据的定期分析;</w:t>
      </w:r>
    </w:p>
    <w:p>
      <w:pPr>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（2）利用多源温室气体监测数据、卫星遥感监测数据和同化反演及模拟评估相结合的方法，进行校验比对分析；</w:t>
      </w:r>
    </w:p>
    <w:p>
      <w:pPr>
        <w:adjustRightIn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sz w:val="24"/>
          <w:highlight w:val="none"/>
        </w:rPr>
        <w:t>分析结果以月报、季报及年报的形式提供。</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三、人员保障</w:t>
      </w:r>
    </w:p>
    <w:p>
      <w:pPr>
        <w:pStyle w:val="979"/>
        <w:spacing w:line="360" w:lineRule="auto"/>
        <w:ind w:left="0" w:leftChars="0" w:firstLine="480"/>
        <w:rPr>
          <w:color w:val="auto"/>
          <w:highlight w:val="none"/>
          <w:lang w:val="en-US"/>
        </w:rPr>
      </w:pPr>
      <w:r>
        <w:rPr>
          <w:rFonts w:hint="eastAsia" w:ascii="仿宋" w:hAnsi="仿宋" w:eastAsia="仿宋" w:cs="仿宋"/>
          <w:bCs/>
          <w:color w:val="auto"/>
          <w:sz w:val="24"/>
          <w:highlight w:val="none"/>
        </w:rPr>
        <w:t>为保证项目实施质量，</w:t>
      </w:r>
      <w:r>
        <w:rPr>
          <w:rFonts w:hint="eastAsia" w:ascii="仿宋" w:hAnsi="仿宋" w:eastAsia="仿宋" w:cs="仿宋"/>
          <w:bCs/>
          <w:color w:val="auto"/>
          <w:sz w:val="24"/>
          <w:highlight w:val="none"/>
          <w:lang w:val="en-US" w:eastAsia="zh-CN"/>
        </w:rPr>
        <w:t>投标人</w:t>
      </w:r>
      <w:r>
        <w:rPr>
          <w:rFonts w:hint="eastAsia" w:ascii="仿宋" w:hAnsi="仿宋" w:eastAsia="仿宋" w:cs="仿宋"/>
          <w:bCs/>
          <w:color w:val="auto"/>
          <w:sz w:val="24"/>
          <w:highlight w:val="none"/>
        </w:rPr>
        <w:t>需成立合理的组织机构，安排至少</w:t>
      </w:r>
      <w:r>
        <w:rPr>
          <w:rFonts w:ascii="仿宋" w:hAnsi="仿宋" w:eastAsia="仿宋" w:cs="仿宋"/>
          <w:bCs/>
          <w:color w:val="auto"/>
          <w:sz w:val="24"/>
          <w:highlight w:val="none"/>
        </w:rPr>
        <w:t>8</w:t>
      </w:r>
      <w:r>
        <w:rPr>
          <w:rFonts w:hint="eastAsia" w:ascii="仿宋" w:hAnsi="仿宋" w:eastAsia="仿宋" w:cs="仿宋"/>
          <w:bCs/>
          <w:color w:val="auto"/>
          <w:sz w:val="24"/>
          <w:highlight w:val="none"/>
        </w:rPr>
        <w:t>名高素质专业技术人员参加本项目建设工作，其中至少3名需具有气象学专业背景，</w:t>
      </w:r>
      <w:r>
        <w:rPr>
          <w:rFonts w:ascii="仿宋" w:hAnsi="仿宋" w:eastAsia="仿宋" w:cs="仿宋"/>
          <w:bCs/>
          <w:color w:val="auto"/>
          <w:sz w:val="24"/>
          <w:highlight w:val="none"/>
        </w:rPr>
        <w:t>8</w:t>
      </w:r>
      <w:r>
        <w:rPr>
          <w:rFonts w:hint="eastAsia" w:ascii="仿宋" w:hAnsi="仿宋" w:eastAsia="仿宋" w:cs="仿宋"/>
          <w:bCs/>
          <w:color w:val="auto"/>
          <w:sz w:val="24"/>
          <w:highlight w:val="none"/>
        </w:rPr>
        <w:t>名专业技术人员中必须明确1名项目技术负责人，技术负责人需具有高级职称；具备一年以上相关工作经验，若服务期间人员产生变动，须经采购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同意。</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四、技术资料及知识产权</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本项目执行过程中所产生的数据资料、算法、源代码和技术报告均为采购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所有，中标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未经同意不得擅自使用，由此产生的一切后果由中标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承担。中标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需和采购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签订相应的保密协议。中标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对在服务过程中接触到的采购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的任何资料、文件、数据以及对服务形成的任何交付物负有保密责任，未经采购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书面同意，中标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不得以任何形式进行利用，不得以任何方式向任何第三方提供或透露。中标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如违反上述保密规定，应承担相应违约责任。本保密义务不因本项目合同期满、解除或终止而终止，除非采购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书面通知中标方解密，否则，中标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在合同终止后仍然负有保密义务。</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五、后续服务要求</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本项目模型维护期2年，维护期间需：</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（一）成果要求</w:t>
      </w:r>
    </w:p>
    <w:p>
      <w:pPr>
        <w:adjustRightInd w:val="0"/>
        <w:snapToGrid w:val="0"/>
        <w:spacing w:line="360" w:lineRule="auto"/>
        <w:ind w:firstLine="480" w:firstLineChars="200"/>
        <w:jc w:val="left"/>
        <w:rPr>
          <w:rFonts w:ascii="仿宋" w:hAnsi="仿宋" w:eastAsia="仿宋" w:cs="仿宋"/>
          <w:bCs/>
          <w:color w:val="auto"/>
          <w:sz w:val="24"/>
          <w:szCs w:val="22"/>
          <w:highlight w:val="none"/>
        </w:rPr>
      </w:pPr>
      <w:r>
        <w:rPr>
          <w:rFonts w:hint="eastAsia" w:ascii="仿宋" w:hAnsi="仿宋" w:eastAsia="仿宋" w:cs="仿宋"/>
          <w:bCs/>
          <w:color w:val="auto"/>
          <w:sz w:val="24"/>
          <w:highlight w:val="none"/>
        </w:rPr>
        <w:t>（1）业务化运行温室气体</w:t>
      </w:r>
      <w:r>
        <w:rPr>
          <w:rFonts w:hint="eastAsia" w:ascii="仿宋" w:hAnsi="仿宋" w:eastAsia="仿宋" w:cs="仿宋"/>
          <w:bCs/>
          <w:color w:val="auto"/>
          <w:sz w:val="24"/>
          <w:szCs w:val="22"/>
          <w:highlight w:val="none"/>
        </w:rPr>
        <w:t>反演模式，反演至少包括CO</w:t>
      </w:r>
      <w:r>
        <w:rPr>
          <w:rFonts w:hint="eastAsia" w:ascii="仿宋" w:hAnsi="仿宋" w:eastAsia="仿宋" w:cs="仿宋"/>
          <w:bCs/>
          <w:color w:val="auto"/>
          <w:sz w:val="24"/>
          <w:szCs w:val="22"/>
          <w:highlight w:val="none"/>
          <w:vertAlign w:val="subscript"/>
        </w:rPr>
        <w:t>2</w:t>
      </w:r>
      <w:r>
        <w:rPr>
          <w:rFonts w:hint="eastAsia" w:ascii="仿宋" w:hAnsi="仿宋" w:eastAsia="仿宋" w:cs="仿宋"/>
          <w:bCs/>
          <w:color w:val="auto"/>
          <w:sz w:val="24"/>
          <w:szCs w:val="22"/>
          <w:highlight w:val="none"/>
        </w:rPr>
        <w:t>、CH</w:t>
      </w:r>
      <w:r>
        <w:rPr>
          <w:rFonts w:hint="eastAsia" w:ascii="仿宋" w:hAnsi="仿宋" w:eastAsia="仿宋" w:cs="仿宋"/>
          <w:bCs/>
          <w:color w:val="auto"/>
          <w:sz w:val="24"/>
          <w:szCs w:val="22"/>
          <w:highlight w:val="none"/>
          <w:vertAlign w:val="subscript"/>
        </w:rPr>
        <w:t>4</w:t>
      </w:r>
      <w:r>
        <w:rPr>
          <w:rFonts w:hint="eastAsia" w:ascii="仿宋" w:hAnsi="仿宋" w:eastAsia="仿宋" w:cs="仿宋"/>
          <w:bCs/>
          <w:color w:val="auto"/>
          <w:sz w:val="24"/>
          <w:szCs w:val="22"/>
          <w:highlight w:val="none"/>
        </w:rPr>
        <w:t>等温室气体的高时空分辨率排放清单、温室气体地表通量和大气浓度产品；</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szCs w:val="22"/>
          <w:highlight w:val="none"/>
        </w:rPr>
        <w:t>（2）</w:t>
      </w:r>
      <w:r>
        <w:rPr>
          <w:rFonts w:hint="eastAsia" w:ascii="仿宋" w:hAnsi="仿宋" w:eastAsia="仿宋" w:cs="仿宋"/>
          <w:bCs/>
          <w:color w:val="auto"/>
          <w:sz w:val="24"/>
          <w:highlight w:val="none"/>
        </w:rPr>
        <w:t>以月报、季报及年报的形式递交《杭州市温室气体多源监测数据分析及同化反演结果》，报告内容至少包含</w:t>
      </w:r>
      <w:bookmarkStart w:id="27" w:name="_Hlk112304766"/>
      <w:r>
        <w:rPr>
          <w:rFonts w:hint="eastAsia" w:ascii="仿宋" w:hAnsi="仿宋" w:eastAsia="仿宋" w:cs="仿宋"/>
          <w:bCs/>
          <w:color w:val="auto"/>
          <w:sz w:val="24"/>
          <w:highlight w:val="none"/>
        </w:rPr>
        <w:t>①温室气体数据时空分布特征,②温室气体源排放反演结果，③生态系统碳通量时空分布特征；</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（3）集成管理温室气体监测数据，全方位进行对比分析，并按要求展示数据及分析结果。</w:t>
      </w:r>
    </w:p>
    <w:bookmarkEnd w:id="27"/>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（二）响应要求</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（1）</w:t>
      </w:r>
      <w:r>
        <w:rPr>
          <w:rFonts w:hint="eastAsia" w:ascii="仿宋" w:hAnsi="仿宋" w:eastAsia="仿宋" w:cs="仿宋"/>
          <w:bCs/>
          <w:color w:val="auto"/>
          <w:sz w:val="24"/>
          <w:highlight w:val="none"/>
          <w:lang w:val="en-US" w:eastAsia="zh-CN"/>
        </w:rPr>
        <w:t>投标人</w:t>
      </w:r>
      <w:r>
        <w:rPr>
          <w:rFonts w:hint="eastAsia" w:ascii="仿宋" w:hAnsi="仿宋" w:eastAsia="仿宋" w:cs="仿宋"/>
          <w:bCs/>
          <w:color w:val="auto"/>
          <w:sz w:val="24"/>
          <w:highlight w:val="none"/>
        </w:rPr>
        <w:t>需及时响应采购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需求，做到24小时在线响应，如需现场服务支撑，在接到采购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通知后，24小时内到达现场；</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（2）</w:t>
      </w:r>
      <w:r>
        <w:rPr>
          <w:rFonts w:hint="eastAsia" w:ascii="仿宋" w:hAnsi="仿宋" w:eastAsia="仿宋" w:cs="仿宋"/>
          <w:bCs/>
          <w:color w:val="auto"/>
          <w:sz w:val="24"/>
          <w:highlight w:val="none"/>
          <w:lang w:val="en-US" w:eastAsia="zh-CN"/>
        </w:rPr>
        <w:t>投标人</w:t>
      </w:r>
      <w:r>
        <w:rPr>
          <w:rFonts w:hint="eastAsia" w:ascii="仿宋" w:hAnsi="仿宋" w:eastAsia="仿宋" w:cs="仿宋"/>
          <w:bCs/>
          <w:color w:val="auto"/>
          <w:sz w:val="24"/>
          <w:highlight w:val="none"/>
        </w:rPr>
        <w:t>需提供临时性的技术指导及模型分析等服务，配合采购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进行温室气体数据分析、模型模拟反演相关服务；</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ascii="仿宋" w:hAnsi="仿宋" w:eastAsia="仿宋" w:cs="仿宋"/>
          <w:bCs/>
          <w:color w:val="auto"/>
          <w:sz w:val="24"/>
          <w:highlight w:val="none"/>
        </w:rPr>
        <w:t>（3）培训要求：</w:t>
      </w:r>
      <w:r>
        <w:rPr>
          <w:rFonts w:hint="eastAsia" w:ascii="仿宋" w:hAnsi="仿宋" w:eastAsia="仿宋" w:cs="仿宋"/>
          <w:bCs/>
          <w:color w:val="auto"/>
          <w:sz w:val="24"/>
          <w:highlight w:val="none"/>
          <w:lang w:val="en-US" w:eastAsia="zh-CN"/>
        </w:rPr>
        <w:t>投标人</w:t>
      </w:r>
      <w:r>
        <w:rPr>
          <w:rFonts w:hint="eastAsia" w:ascii="仿宋" w:hAnsi="仿宋" w:eastAsia="仿宋" w:cs="仿宋"/>
          <w:bCs/>
          <w:color w:val="auto"/>
          <w:sz w:val="24"/>
          <w:highlight w:val="none"/>
        </w:rPr>
        <w:t>应根据本项目特点，拟定有关培训计划并组织实施，确保培训质量。投标人在投标文件中提供详细的培训计划,包括培训内容、培训时间、培训人数、培训地点等，至少包含</w:t>
      </w:r>
      <w:r>
        <w:rPr>
          <w:rFonts w:hint="eastAsia" w:ascii="仿宋" w:hAnsi="仿宋" w:eastAsia="仿宋" w:cs="仿宋"/>
          <w:bCs/>
          <w:color w:val="auto"/>
          <w:sz w:val="24"/>
          <w:highlight w:val="none"/>
          <w:lang w:val="en-US" w:eastAsia="zh-CN"/>
        </w:rPr>
        <w:t>5</w:t>
      </w:r>
      <w:r>
        <w:rPr>
          <w:rFonts w:hint="eastAsia" w:ascii="仿宋" w:hAnsi="仿宋" w:eastAsia="仿宋" w:cs="仿宋"/>
          <w:bCs/>
          <w:color w:val="auto"/>
          <w:sz w:val="24"/>
          <w:highlight w:val="none"/>
        </w:rPr>
        <w:t>天10人次的培训。</w:t>
      </w:r>
    </w:p>
    <w:p>
      <w:pPr>
        <w:adjustRightInd w:val="0"/>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s="仿宋"/>
          <w:bCs/>
          <w:color w:val="auto"/>
          <w:sz w:val="24"/>
          <w:highlight w:val="none"/>
        </w:rPr>
        <w:t>（</w:t>
      </w:r>
      <w:r>
        <w:rPr>
          <w:rFonts w:ascii="仿宋" w:hAnsi="仿宋" w:eastAsia="仿宋" w:cs="仿宋"/>
          <w:bCs/>
          <w:color w:val="auto"/>
          <w:sz w:val="24"/>
          <w:highlight w:val="none"/>
        </w:rPr>
        <w:t>4</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val="en-US" w:eastAsia="zh-CN"/>
        </w:rPr>
        <w:t>投标人</w:t>
      </w:r>
      <w:r>
        <w:rPr>
          <w:rFonts w:hint="eastAsia" w:ascii="仿宋" w:hAnsi="仿宋" w:eastAsia="仿宋" w:cs="仿宋"/>
          <w:bCs/>
          <w:color w:val="auto"/>
          <w:sz w:val="24"/>
          <w:highlight w:val="none"/>
        </w:rPr>
        <w:t>需提供与本项目相关的免费电话技术咨询及答疑</w:t>
      </w:r>
      <w:r>
        <w:rPr>
          <w:rFonts w:ascii="仿宋" w:hAnsi="仿宋" w:eastAsia="仿宋" w:cs="仿宋"/>
          <w:bCs/>
          <w:color w:val="auto"/>
          <w:sz w:val="24"/>
          <w:highlight w:val="none"/>
        </w:rPr>
        <w:t>。</w:t>
      </w:r>
      <w:r>
        <w:rPr>
          <w:rFonts w:hint="eastAsia" w:ascii="仿宋" w:hAnsi="仿宋" w:eastAsia="仿宋"/>
          <w:color w:val="auto"/>
          <w:sz w:val="24"/>
          <w:highlight w:val="none"/>
        </w:rPr>
        <w:t>维护期内，如</w:t>
      </w:r>
      <w:r>
        <w:rPr>
          <w:rFonts w:hint="eastAsia" w:ascii="仿宋" w:hAnsi="仿宋" w:eastAsia="仿宋" w:cs="仿宋"/>
          <w:bCs/>
          <w:color w:val="auto"/>
          <w:sz w:val="24"/>
          <w:highlight w:val="none"/>
          <w:lang w:val="en-US" w:eastAsia="zh-CN"/>
        </w:rPr>
        <w:t>投标人</w:t>
      </w:r>
      <w:r>
        <w:rPr>
          <w:rFonts w:hint="eastAsia" w:ascii="仿宋" w:hAnsi="仿宋" w:eastAsia="仿宋"/>
          <w:color w:val="auto"/>
          <w:sz w:val="24"/>
          <w:highlight w:val="none"/>
        </w:rPr>
        <w:t>无法达到以上服务响应要求的，每发生一次向采购</w:t>
      </w:r>
      <w:r>
        <w:rPr>
          <w:rFonts w:hint="eastAsia" w:ascii="仿宋" w:hAnsi="仿宋" w:eastAsia="仿宋"/>
          <w:color w:val="auto"/>
          <w:sz w:val="24"/>
          <w:highlight w:val="none"/>
          <w:lang w:val="en-US" w:eastAsia="zh-CN"/>
        </w:rPr>
        <w:t>人</w:t>
      </w:r>
      <w:r>
        <w:rPr>
          <w:rFonts w:hint="eastAsia" w:ascii="仿宋" w:hAnsi="仿宋" w:eastAsia="仿宋"/>
          <w:color w:val="auto"/>
          <w:sz w:val="24"/>
          <w:highlight w:val="none"/>
        </w:rPr>
        <w:t>支付违约金</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000元。</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六、履约验收要求</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项目验收工作由采购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组织专家组成项目验收小组来完成，具体成员和组织形式由采购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确定。</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（1）履约验收时间：2022年12月10日前。</w:t>
      </w:r>
    </w:p>
    <w:p>
      <w:pPr>
        <w:adjustRightInd w:val="0"/>
        <w:snapToGrid w:val="0"/>
        <w:spacing w:line="360" w:lineRule="auto"/>
        <w:ind w:firstLine="482"/>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w:t>
      </w:r>
      <w:r>
        <w:rPr>
          <w:rFonts w:ascii="仿宋" w:hAnsi="仿宋" w:eastAsia="仿宋" w:cs="仿宋"/>
          <w:bCs/>
          <w:color w:val="auto"/>
          <w:sz w:val="24"/>
          <w:highlight w:val="none"/>
        </w:rPr>
        <w:t>2</w:t>
      </w:r>
      <w:r>
        <w:rPr>
          <w:rFonts w:hint="eastAsia" w:ascii="仿宋" w:hAnsi="仿宋" w:eastAsia="仿宋" w:cs="仿宋"/>
          <w:bCs/>
          <w:color w:val="auto"/>
          <w:sz w:val="24"/>
          <w:highlight w:val="none"/>
        </w:rPr>
        <w:t>）履约验收标准：提供一份《杭州市温室气体监测数据分析及同化反演结果报告》，主要内容包括温室气体排放反演模型构建，结合已产生的温室气体数据进行分析反演获得的结果，数据集成管理技术研发。</w:t>
      </w:r>
    </w:p>
    <w:p>
      <w:pPr>
        <w:adjustRightInd w:val="0"/>
        <w:snapToGrid w:val="0"/>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（3）履约验收其他事项</w:t>
      </w:r>
    </w:p>
    <w:p>
      <w:pPr>
        <w:adjustRightInd w:val="0"/>
        <w:snapToGrid w:val="0"/>
        <w:spacing w:line="360" w:lineRule="auto"/>
        <w:ind w:firstLine="482"/>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①项目验收前，</w:t>
      </w:r>
      <w:r>
        <w:rPr>
          <w:rFonts w:hint="eastAsia" w:ascii="仿宋" w:hAnsi="仿宋" w:eastAsia="仿宋" w:cs="仿宋"/>
          <w:bCs/>
          <w:color w:val="auto"/>
          <w:sz w:val="24"/>
          <w:highlight w:val="none"/>
          <w:lang w:val="en-US" w:eastAsia="zh-CN"/>
        </w:rPr>
        <w:t>投标人</w:t>
      </w:r>
      <w:r>
        <w:rPr>
          <w:rFonts w:hint="eastAsia" w:ascii="仿宋" w:hAnsi="仿宋" w:eastAsia="仿宋" w:cs="仿宋"/>
          <w:bCs/>
          <w:color w:val="auto"/>
          <w:sz w:val="24"/>
          <w:highlight w:val="none"/>
        </w:rPr>
        <w:t>需向采购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提出书面验收申请，并提供经采购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确认的各类文档及资料。 ②验收合格后，采购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按照本合同规定的相关付款条件，支付中标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相应款项；验收不合格时，投标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应负责修改成果报告，并在达到验收条件时，再次向采购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提出书面验收申请；因投标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原因导致项目验收不合格产生的延期及其它建设工作成本，由投标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承担。③验收合格后，中标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需继续提供2年模型维护服务。</w:t>
      </w:r>
    </w:p>
    <w:p>
      <w:pPr>
        <w:adjustRightInd w:val="0"/>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七、付款方式</w:t>
      </w:r>
    </w:p>
    <w:p>
      <w:pPr>
        <w:adjustRightInd w:val="0"/>
        <w:snapToGrid w:val="0"/>
        <w:spacing w:line="360" w:lineRule="auto"/>
        <w:ind w:firstLine="482"/>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（1）合同签订后，采购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支付中标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合同金额的7</w:t>
      </w:r>
      <w:r>
        <w:rPr>
          <w:rFonts w:ascii="仿宋" w:hAnsi="仿宋" w:eastAsia="仿宋" w:cs="仿宋"/>
          <w:bCs/>
          <w:color w:val="auto"/>
          <w:sz w:val="24"/>
          <w:highlight w:val="none"/>
        </w:rPr>
        <w:t>0</w:t>
      </w:r>
      <w:r>
        <w:rPr>
          <w:rFonts w:hint="eastAsia" w:ascii="仿宋" w:hAnsi="仿宋" w:eastAsia="仿宋" w:cs="仿宋"/>
          <w:bCs/>
          <w:color w:val="auto"/>
          <w:sz w:val="24"/>
          <w:highlight w:val="none"/>
        </w:rPr>
        <w:t>%；</w:t>
      </w:r>
    </w:p>
    <w:p>
      <w:pPr>
        <w:pStyle w:val="26"/>
        <w:keepNext w:val="0"/>
        <w:keepLines w:val="0"/>
        <w:pageBreakBefore w:val="0"/>
        <w:kinsoku/>
        <w:wordWrap/>
        <w:overflowPunct/>
        <w:topLinePunct w:val="0"/>
        <w:bidi w:val="0"/>
        <w:adjustRightInd w:val="0"/>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bCs/>
          <w:color w:val="auto"/>
          <w:sz w:val="24"/>
          <w:highlight w:val="none"/>
        </w:rPr>
        <w:t>（</w:t>
      </w:r>
      <w:r>
        <w:rPr>
          <w:rFonts w:ascii="仿宋" w:hAnsi="仿宋" w:eastAsia="仿宋" w:cs="仿宋"/>
          <w:bCs/>
          <w:color w:val="auto"/>
          <w:sz w:val="24"/>
          <w:highlight w:val="none"/>
        </w:rPr>
        <w:t>2</w:t>
      </w:r>
      <w:r>
        <w:rPr>
          <w:rFonts w:hint="eastAsia" w:ascii="仿宋" w:hAnsi="仿宋" w:eastAsia="仿宋" w:cs="仿宋"/>
          <w:bCs/>
          <w:color w:val="auto"/>
          <w:sz w:val="24"/>
          <w:highlight w:val="none"/>
        </w:rPr>
        <w:t>）完成项目验收且经采购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确认验收合格后，采购</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向中标</w:t>
      </w:r>
      <w:r>
        <w:rPr>
          <w:rFonts w:hint="eastAsia" w:ascii="仿宋" w:hAnsi="仿宋" w:eastAsia="仿宋" w:cs="仿宋"/>
          <w:bCs/>
          <w:color w:val="auto"/>
          <w:sz w:val="24"/>
          <w:highlight w:val="none"/>
          <w:lang w:val="en-US" w:eastAsia="zh-CN"/>
        </w:rPr>
        <w:t>人</w:t>
      </w:r>
      <w:r>
        <w:rPr>
          <w:rFonts w:hint="eastAsia" w:ascii="仿宋" w:hAnsi="仿宋" w:eastAsia="仿宋" w:cs="仿宋"/>
          <w:bCs/>
          <w:color w:val="auto"/>
          <w:sz w:val="24"/>
          <w:highlight w:val="none"/>
        </w:rPr>
        <w:t>支付合同金额的3</w:t>
      </w:r>
      <w:r>
        <w:rPr>
          <w:rFonts w:ascii="仿宋" w:hAnsi="仿宋" w:eastAsia="仿宋" w:cs="仿宋"/>
          <w:bCs/>
          <w:color w:val="auto"/>
          <w:sz w:val="24"/>
          <w:highlight w:val="none"/>
        </w:rPr>
        <w:t>0</w:t>
      </w:r>
      <w:r>
        <w:rPr>
          <w:rFonts w:hint="eastAsia" w:ascii="仿宋" w:hAnsi="仿宋" w:eastAsia="仿宋" w:cs="仿宋"/>
          <w:bCs/>
          <w:color w:val="auto"/>
          <w:sz w:val="24"/>
          <w:highlight w:val="none"/>
        </w:rPr>
        <w:t>%。</w:t>
      </w:r>
    </w:p>
    <w:p>
      <w:pP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br w:type="page"/>
      </w:r>
    </w:p>
    <w:p>
      <w:pPr>
        <w:snapToGrid w:val="0"/>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bookmarkStart w:id="28" w:name="_Toc184313300"/>
      <w:bookmarkEnd w:id="28"/>
      <w:bookmarkStart w:id="29" w:name="_Toc184308105"/>
      <w:bookmarkEnd w:id="29"/>
      <w:bookmarkStart w:id="30" w:name="_Toc184312136"/>
      <w:bookmarkEnd w:id="30"/>
      <w:bookmarkStart w:id="31" w:name="_Toc184314465"/>
      <w:bookmarkEnd w:id="31"/>
      <w:bookmarkStart w:id="32" w:name="_Toc184308078"/>
      <w:bookmarkEnd w:id="32"/>
      <w:bookmarkStart w:id="33" w:name="_Toc184313291"/>
      <w:bookmarkEnd w:id="33"/>
      <w:bookmarkStart w:id="34" w:name="_Toc184310329"/>
      <w:bookmarkEnd w:id="34"/>
      <w:bookmarkStart w:id="35" w:name="_Toc184314427"/>
      <w:bookmarkEnd w:id="35"/>
      <w:bookmarkStart w:id="36" w:name="_Toc184308053"/>
      <w:bookmarkEnd w:id="36"/>
      <w:bookmarkStart w:id="37" w:name="_Toc184308056"/>
      <w:bookmarkEnd w:id="37"/>
      <w:bookmarkStart w:id="38" w:name="_Toc184312098"/>
      <w:bookmarkEnd w:id="38"/>
      <w:bookmarkStart w:id="39" w:name="_Toc184314423"/>
      <w:bookmarkEnd w:id="39"/>
      <w:bookmarkStart w:id="40" w:name="_Toc184310285"/>
      <w:bookmarkEnd w:id="40"/>
      <w:bookmarkStart w:id="41" w:name="_Toc184314442"/>
      <w:bookmarkEnd w:id="41"/>
      <w:bookmarkStart w:id="42" w:name="_Toc184314419"/>
      <w:bookmarkEnd w:id="42"/>
      <w:bookmarkStart w:id="43" w:name="_Toc184310281"/>
      <w:bookmarkEnd w:id="43"/>
      <w:bookmarkStart w:id="44" w:name="_Toc184312088"/>
      <w:bookmarkEnd w:id="44"/>
      <w:bookmarkStart w:id="45" w:name="_Toc184313283"/>
      <w:bookmarkEnd w:id="45"/>
      <w:bookmarkStart w:id="46" w:name="_Toc184312085"/>
      <w:bookmarkEnd w:id="46"/>
      <w:bookmarkStart w:id="47" w:name="_Toc184308051"/>
      <w:bookmarkEnd w:id="47"/>
      <w:bookmarkStart w:id="48" w:name="_Toc184310273"/>
      <w:bookmarkEnd w:id="48"/>
      <w:bookmarkStart w:id="49" w:name="_Toc184312080"/>
      <w:bookmarkEnd w:id="49"/>
      <w:bookmarkStart w:id="50" w:name="_Toc184312101"/>
      <w:bookmarkEnd w:id="50"/>
      <w:bookmarkStart w:id="51" w:name="_Toc184313242"/>
      <w:bookmarkEnd w:id="51"/>
      <w:bookmarkStart w:id="52" w:name="_Toc184313282"/>
      <w:bookmarkEnd w:id="52"/>
      <w:bookmarkStart w:id="53" w:name="_Toc184310303"/>
      <w:bookmarkEnd w:id="53"/>
      <w:bookmarkStart w:id="54" w:name="_Toc184313248"/>
      <w:bookmarkEnd w:id="54"/>
      <w:bookmarkStart w:id="55" w:name="_Toc184308046"/>
      <w:bookmarkEnd w:id="55"/>
      <w:bookmarkStart w:id="56" w:name="_Toc184313252"/>
      <w:bookmarkEnd w:id="56"/>
      <w:bookmarkStart w:id="57" w:name="_Toc184310327"/>
      <w:bookmarkEnd w:id="57"/>
      <w:bookmarkStart w:id="58" w:name="_Toc184308094"/>
      <w:bookmarkEnd w:id="58"/>
      <w:bookmarkStart w:id="59" w:name="_Toc184310304"/>
      <w:bookmarkEnd w:id="59"/>
      <w:bookmarkStart w:id="60" w:name="_Toc184308072"/>
      <w:bookmarkEnd w:id="60"/>
      <w:bookmarkStart w:id="61" w:name="_Toc184308062"/>
      <w:bookmarkEnd w:id="61"/>
      <w:bookmarkStart w:id="62" w:name="_Toc184312083"/>
      <w:bookmarkEnd w:id="62"/>
      <w:bookmarkStart w:id="63" w:name="_Toc184312135"/>
      <w:bookmarkEnd w:id="63"/>
      <w:bookmarkStart w:id="64" w:name="_Toc184310335"/>
      <w:bookmarkEnd w:id="64"/>
      <w:bookmarkStart w:id="65" w:name="_Toc184313296"/>
      <w:bookmarkEnd w:id="65"/>
      <w:bookmarkStart w:id="66" w:name="_Toc184310331"/>
      <w:bookmarkEnd w:id="66"/>
      <w:bookmarkStart w:id="67" w:name="_Toc184312117"/>
      <w:bookmarkEnd w:id="67"/>
      <w:bookmarkStart w:id="68" w:name="_Toc184312084"/>
      <w:bookmarkEnd w:id="68"/>
      <w:bookmarkStart w:id="69" w:name="_Toc184313264"/>
      <w:bookmarkEnd w:id="69"/>
      <w:bookmarkStart w:id="70" w:name="_Toc184314432"/>
      <w:bookmarkEnd w:id="70"/>
      <w:bookmarkStart w:id="71" w:name="_Toc184312134"/>
      <w:bookmarkEnd w:id="71"/>
      <w:bookmarkStart w:id="72" w:name="_Toc184312114"/>
      <w:bookmarkEnd w:id="72"/>
      <w:bookmarkStart w:id="73" w:name="_Toc184314482"/>
      <w:bookmarkEnd w:id="73"/>
      <w:bookmarkStart w:id="74" w:name="_Toc184313275"/>
      <w:bookmarkEnd w:id="74"/>
      <w:bookmarkStart w:id="75" w:name="_Toc184310323"/>
      <w:bookmarkEnd w:id="75"/>
      <w:bookmarkStart w:id="76" w:name="_Toc184312094"/>
      <w:bookmarkEnd w:id="76"/>
      <w:bookmarkStart w:id="77" w:name="_Toc184314417"/>
      <w:bookmarkEnd w:id="77"/>
      <w:bookmarkStart w:id="78" w:name="_Toc184312139"/>
      <w:bookmarkEnd w:id="78"/>
      <w:bookmarkStart w:id="79" w:name="_Toc184310322"/>
      <w:bookmarkEnd w:id="79"/>
      <w:bookmarkStart w:id="80" w:name="_Toc184308071"/>
      <w:bookmarkEnd w:id="80"/>
      <w:bookmarkStart w:id="81" w:name="_Toc184314451"/>
      <w:bookmarkEnd w:id="81"/>
      <w:bookmarkStart w:id="82" w:name="_Toc184308070"/>
      <w:bookmarkEnd w:id="82"/>
      <w:bookmarkStart w:id="83" w:name="_Toc184310325"/>
      <w:bookmarkEnd w:id="83"/>
      <w:bookmarkStart w:id="84" w:name="_Toc184313278"/>
      <w:bookmarkEnd w:id="84"/>
      <w:bookmarkStart w:id="85" w:name="_Toc184308057"/>
      <w:bookmarkEnd w:id="85"/>
      <w:bookmarkStart w:id="86" w:name="_Toc184310307"/>
      <w:bookmarkEnd w:id="86"/>
      <w:bookmarkStart w:id="87" w:name="_Toc184312071"/>
      <w:bookmarkEnd w:id="87"/>
      <w:bookmarkStart w:id="88" w:name="_Toc184314418"/>
      <w:bookmarkEnd w:id="88"/>
      <w:bookmarkStart w:id="89" w:name="_Toc184313299"/>
      <w:bookmarkEnd w:id="89"/>
      <w:bookmarkStart w:id="90" w:name="_Toc184308037"/>
      <w:bookmarkEnd w:id="90"/>
      <w:bookmarkStart w:id="91" w:name="_Toc184313309"/>
      <w:bookmarkEnd w:id="91"/>
      <w:bookmarkStart w:id="92" w:name="_Toc184312131"/>
      <w:bookmarkEnd w:id="92"/>
      <w:bookmarkStart w:id="93" w:name="_Toc184308044"/>
      <w:bookmarkEnd w:id="93"/>
      <w:bookmarkStart w:id="94" w:name="_Toc184312079"/>
      <w:bookmarkEnd w:id="94"/>
      <w:bookmarkStart w:id="95" w:name="_Toc184310305"/>
      <w:bookmarkEnd w:id="95"/>
      <w:bookmarkStart w:id="96" w:name="_Toc184313266"/>
      <w:bookmarkEnd w:id="96"/>
      <w:bookmarkStart w:id="97" w:name="_Toc184313308"/>
      <w:bookmarkEnd w:id="97"/>
      <w:bookmarkStart w:id="98" w:name="_Toc184308104"/>
      <w:bookmarkEnd w:id="98"/>
      <w:bookmarkStart w:id="99" w:name="_Toc184310340"/>
      <w:bookmarkEnd w:id="99"/>
      <w:bookmarkStart w:id="100" w:name="_Toc184308097"/>
      <w:bookmarkEnd w:id="100"/>
      <w:bookmarkStart w:id="101" w:name="_Toc184314461"/>
      <w:bookmarkEnd w:id="101"/>
      <w:bookmarkStart w:id="102" w:name="_Toc184314449"/>
      <w:bookmarkEnd w:id="102"/>
      <w:bookmarkStart w:id="103" w:name="_Toc184310299"/>
      <w:bookmarkEnd w:id="103"/>
      <w:bookmarkStart w:id="104" w:name="_Toc184308064"/>
      <w:bookmarkEnd w:id="104"/>
      <w:bookmarkStart w:id="105" w:name="_Toc184308101"/>
      <w:bookmarkEnd w:id="105"/>
      <w:bookmarkStart w:id="106" w:name="_Toc184314462"/>
      <w:bookmarkEnd w:id="106"/>
      <w:bookmarkStart w:id="107" w:name="_Toc184310338"/>
      <w:bookmarkEnd w:id="107"/>
      <w:bookmarkStart w:id="108" w:name="_Toc184312072"/>
      <w:bookmarkEnd w:id="108"/>
      <w:bookmarkStart w:id="109" w:name="_Toc184310272"/>
      <w:bookmarkEnd w:id="109"/>
      <w:bookmarkStart w:id="110" w:name="_Toc184313304"/>
      <w:bookmarkEnd w:id="110"/>
      <w:bookmarkStart w:id="111" w:name="_Toc184308063"/>
      <w:bookmarkEnd w:id="111"/>
      <w:bookmarkStart w:id="112" w:name="_Toc184308048"/>
      <w:bookmarkEnd w:id="112"/>
      <w:bookmarkStart w:id="113" w:name="_Toc184308040"/>
      <w:bookmarkEnd w:id="113"/>
      <w:bookmarkStart w:id="114" w:name="_Toc184312116"/>
      <w:bookmarkEnd w:id="114"/>
      <w:bookmarkStart w:id="115" w:name="_Toc184313293"/>
      <w:bookmarkEnd w:id="115"/>
      <w:bookmarkStart w:id="116" w:name="_Toc184310302"/>
      <w:bookmarkEnd w:id="116"/>
      <w:bookmarkStart w:id="117" w:name="_Toc184308079"/>
      <w:bookmarkEnd w:id="117"/>
      <w:bookmarkStart w:id="118" w:name="_Toc184310321"/>
      <w:bookmarkEnd w:id="118"/>
      <w:bookmarkStart w:id="119" w:name="_Toc184314439"/>
      <w:bookmarkEnd w:id="119"/>
      <w:bookmarkStart w:id="120" w:name="_Toc184308107"/>
      <w:bookmarkEnd w:id="120"/>
      <w:bookmarkStart w:id="121" w:name="_Toc184308108"/>
      <w:bookmarkEnd w:id="121"/>
      <w:bookmarkStart w:id="122" w:name="_Toc184314410"/>
      <w:bookmarkEnd w:id="122"/>
      <w:bookmarkStart w:id="123" w:name="_Toc184313262"/>
      <w:bookmarkEnd w:id="123"/>
      <w:bookmarkStart w:id="124" w:name="_Toc184308090"/>
      <w:bookmarkEnd w:id="124"/>
      <w:bookmarkStart w:id="125" w:name="_Toc184310300"/>
      <w:bookmarkEnd w:id="125"/>
      <w:bookmarkStart w:id="126" w:name="_Toc184314412"/>
      <w:bookmarkEnd w:id="126"/>
      <w:bookmarkStart w:id="127" w:name="_Toc184314438"/>
      <w:bookmarkEnd w:id="127"/>
      <w:bookmarkStart w:id="128" w:name="_Toc184312087"/>
      <w:bookmarkEnd w:id="128"/>
      <w:bookmarkStart w:id="129" w:name="_Toc184314468"/>
      <w:bookmarkEnd w:id="129"/>
      <w:bookmarkStart w:id="130" w:name="_Toc184313307"/>
      <w:bookmarkEnd w:id="130"/>
      <w:bookmarkStart w:id="131" w:name="_Toc184310293"/>
      <w:bookmarkEnd w:id="131"/>
      <w:bookmarkStart w:id="132" w:name="_Toc184310341"/>
      <w:bookmarkEnd w:id="132"/>
      <w:bookmarkStart w:id="133" w:name="_Toc184308084"/>
      <w:bookmarkEnd w:id="133"/>
      <w:bookmarkStart w:id="134" w:name="_Toc184314446"/>
      <w:bookmarkEnd w:id="134"/>
      <w:bookmarkStart w:id="135" w:name="_Toc184314448"/>
      <w:bookmarkEnd w:id="135"/>
      <w:bookmarkStart w:id="136" w:name="_Toc184314447"/>
      <w:bookmarkEnd w:id="136"/>
      <w:bookmarkStart w:id="137" w:name="_Toc184312097"/>
      <w:bookmarkEnd w:id="137"/>
      <w:bookmarkStart w:id="138" w:name="_Toc184310313"/>
      <w:bookmarkEnd w:id="138"/>
      <w:bookmarkStart w:id="139" w:name="_Toc184312118"/>
      <w:bookmarkEnd w:id="139"/>
      <w:bookmarkStart w:id="140" w:name="_Toc184312104"/>
      <w:bookmarkEnd w:id="140"/>
      <w:bookmarkStart w:id="141" w:name="_Toc184313288"/>
      <w:bookmarkEnd w:id="141"/>
      <w:bookmarkStart w:id="142" w:name="_Toc184312068"/>
      <w:bookmarkEnd w:id="142"/>
      <w:bookmarkStart w:id="143" w:name="_Toc184313241"/>
      <w:bookmarkEnd w:id="143"/>
      <w:bookmarkStart w:id="144" w:name="_Toc184313253"/>
      <w:bookmarkEnd w:id="144"/>
      <w:bookmarkStart w:id="145" w:name="_Toc184308065"/>
      <w:bookmarkEnd w:id="145"/>
      <w:bookmarkStart w:id="146" w:name="_Toc184310339"/>
      <w:bookmarkEnd w:id="146"/>
      <w:bookmarkStart w:id="147" w:name="_Toc184313284"/>
      <w:bookmarkEnd w:id="147"/>
      <w:bookmarkStart w:id="148" w:name="_Toc184308098"/>
      <w:bookmarkEnd w:id="148"/>
      <w:bookmarkStart w:id="149" w:name="_Toc184308093"/>
      <w:bookmarkEnd w:id="149"/>
      <w:bookmarkStart w:id="150" w:name="_Toc184314431"/>
      <w:bookmarkEnd w:id="150"/>
      <w:bookmarkStart w:id="151" w:name="_Toc184313251"/>
      <w:bookmarkEnd w:id="151"/>
      <w:bookmarkStart w:id="152" w:name="_Toc184308103"/>
      <w:bookmarkEnd w:id="152"/>
      <w:bookmarkStart w:id="153" w:name="_Toc184312093"/>
      <w:bookmarkEnd w:id="153"/>
      <w:bookmarkStart w:id="154" w:name="_Toc184310292"/>
      <w:bookmarkEnd w:id="154"/>
      <w:bookmarkStart w:id="155" w:name="_Toc184312075"/>
      <w:bookmarkEnd w:id="155"/>
      <w:bookmarkStart w:id="156" w:name="_Toc184308038"/>
      <w:bookmarkEnd w:id="156"/>
      <w:bookmarkStart w:id="157" w:name="_Toc184314441"/>
      <w:bookmarkEnd w:id="157"/>
      <w:bookmarkStart w:id="158" w:name="_Toc184310301"/>
      <w:bookmarkEnd w:id="158"/>
      <w:bookmarkStart w:id="159" w:name="_Toc184310334"/>
      <w:bookmarkEnd w:id="159"/>
      <w:bookmarkStart w:id="160" w:name="_Toc184312090"/>
      <w:bookmarkEnd w:id="160"/>
      <w:bookmarkStart w:id="161" w:name="_Toc184312067"/>
      <w:bookmarkEnd w:id="161"/>
      <w:bookmarkStart w:id="162" w:name="_Toc184312073"/>
      <w:bookmarkEnd w:id="162"/>
      <w:bookmarkStart w:id="163" w:name="_Toc184313250"/>
      <w:bookmarkEnd w:id="163"/>
      <w:bookmarkStart w:id="164" w:name="_Toc184313298"/>
      <w:bookmarkEnd w:id="164"/>
      <w:bookmarkStart w:id="165" w:name="_Toc184308069"/>
      <w:bookmarkEnd w:id="165"/>
      <w:bookmarkStart w:id="166" w:name="_Toc184314458"/>
      <w:bookmarkEnd w:id="166"/>
      <w:bookmarkStart w:id="167" w:name="_Toc184310280"/>
      <w:bookmarkEnd w:id="167"/>
      <w:bookmarkStart w:id="168" w:name="_Toc184310342"/>
      <w:bookmarkEnd w:id="168"/>
      <w:bookmarkStart w:id="169" w:name="_Toc184314450"/>
      <w:bookmarkEnd w:id="169"/>
      <w:bookmarkStart w:id="170" w:name="_Toc184308066"/>
      <w:bookmarkEnd w:id="170"/>
      <w:bookmarkStart w:id="171" w:name="_Toc184313255"/>
      <w:bookmarkEnd w:id="171"/>
      <w:bookmarkStart w:id="172" w:name="_Toc184314416"/>
      <w:bookmarkEnd w:id="172"/>
      <w:bookmarkStart w:id="173" w:name="_Toc184313302"/>
      <w:bookmarkEnd w:id="173"/>
      <w:bookmarkStart w:id="174" w:name="_Toc184314463"/>
      <w:bookmarkEnd w:id="174"/>
      <w:bookmarkStart w:id="175" w:name="_Toc184312069"/>
      <w:bookmarkEnd w:id="175"/>
      <w:bookmarkStart w:id="176" w:name="_Toc184310298"/>
      <w:bookmarkEnd w:id="176"/>
      <w:bookmarkStart w:id="177" w:name="_Toc184308036"/>
      <w:bookmarkEnd w:id="177"/>
      <w:bookmarkStart w:id="178" w:name="_Toc184310275"/>
      <w:bookmarkEnd w:id="178"/>
      <w:bookmarkStart w:id="179" w:name="_Toc184308096"/>
      <w:bookmarkEnd w:id="179"/>
      <w:bookmarkStart w:id="180" w:name="_Toc184313286"/>
      <w:bookmarkEnd w:id="180"/>
      <w:bookmarkStart w:id="181" w:name="_Toc184308073"/>
      <w:bookmarkEnd w:id="181"/>
      <w:bookmarkStart w:id="182" w:name="_Toc184310282"/>
      <w:bookmarkEnd w:id="182"/>
      <w:bookmarkStart w:id="183" w:name="_Toc184314480"/>
      <w:bookmarkEnd w:id="183"/>
      <w:bookmarkStart w:id="184" w:name="_Toc184312122"/>
      <w:bookmarkEnd w:id="184"/>
      <w:bookmarkStart w:id="185" w:name="_Toc184310328"/>
      <w:bookmarkEnd w:id="185"/>
      <w:bookmarkStart w:id="186" w:name="_Toc184314422"/>
      <w:bookmarkEnd w:id="186"/>
      <w:bookmarkStart w:id="187" w:name="_Toc184308055"/>
      <w:bookmarkEnd w:id="187"/>
      <w:bookmarkStart w:id="188" w:name="_Toc184314436"/>
      <w:bookmarkEnd w:id="188"/>
      <w:bookmarkStart w:id="189" w:name="_Toc184310278"/>
      <w:bookmarkEnd w:id="189"/>
      <w:bookmarkStart w:id="190" w:name="_Toc184308088"/>
      <w:bookmarkEnd w:id="190"/>
      <w:bookmarkStart w:id="191" w:name="_Toc184310290"/>
      <w:bookmarkEnd w:id="191"/>
      <w:bookmarkStart w:id="192" w:name="_Toc184310296"/>
      <w:bookmarkEnd w:id="192"/>
      <w:bookmarkStart w:id="193" w:name="_Toc184313297"/>
      <w:bookmarkEnd w:id="193"/>
      <w:bookmarkStart w:id="194" w:name="_Toc184310314"/>
      <w:bookmarkEnd w:id="194"/>
      <w:bookmarkStart w:id="195" w:name="_Toc184313272"/>
      <w:bookmarkEnd w:id="195"/>
      <w:bookmarkStart w:id="196" w:name="_Toc184313310"/>
      <w:bookmarkEnd w:id="196"/>
      <w:bookmarkStart w:id="197" w:name="_Toc184310344"/>
      <w:bookmarkEnd w:id="197"/>
      <w:bookmarkStart w:id="198" w:name="_Toc184314411"/>
      <w:bookmarkEnd w:id="198"/>
      <w:bookmarkStart w:id="199" w:name="_Toc184314460"/>
      <w:bookmarkEnd w:id="199"/>
      <w:bookmarkStart w:id="200" w:name="_Toc184308076"/>
      <w:bookmarkEnd w:id="200"/>
      <w:bookmarkStart w:id="201" w:name="_Toc184312112"/>
      <w:bookmarkEnd w:id="201"/>
      <w:bookmarkStart w:id="202" w:name="_Toc184310294"/>
      <w:bookmarkEnd w:id="202"/>
      <w:bookmarkStart w:id="203" w:name="_Toc184310309"/>
      <w:bookmarkEnd w:id="203"/>
      <w:bookmarkStart w:id="204" w:name="_Toc184312138"/>
      <w:bookmarkEnd w:id="204"/>
      <w:bookmarkStart w:id="205" w:name="_Toc184312137"/>
      <w:bookmarkEnd w:id="205"/>
      <w:bookmarkStart w:id="206" w:name="_Toc184314452"/>
      <w:bookmarkEnd w:id="206"/>
      <w:bookmarkStart w:id="207" w:name="_Toc184314425"/>
      <w:bookmarkEnd w:id="207"/>
      <w:bookmarkStart w:id="208" w:name="_Toc184310291"/>
      <w:bookmarkEnd w:id="208"/>
      <w:bookmarkStart w:id="209" w:name="_Toc184313290"/>
      <w:bookmarkEnd w:id="209"/>
      <w:bookmarkStart w:id="210" w:name="_Toc184313259"/>
      <w:bookmarkEnd w:id="210"/>
      <w:bookmarkStart w:id="211" w:name="_Toc184313238"/>
      <w:bookmarkEnd w:id="211"/>
      <w:bookmarkStart w:id="212" w:name="_Toc184312107"/>
      <w:bookmarkEnd w:id="212"/>
      <w:bookmarkStart w:id="213" w:name="_Toc184308082"/>
      <w:bookmarkEnd w:id="213"/>
      <w:bookmarkStart w:id="214" w:name="_Toc184314457"/>
      <w:bookmarkEnd w:id="214"/>
      <w:bookmarkStart w:id="215" w:name="_Toc184313276"/>
      <w:bookmarkEnd w:id="215"/>
      <w:bookmarkStart w:id="216" w:name="_Toc184313271"/>
      <w:bookmarkEnd w:id="216"/>
      <w:bookmarkStart w:id="217" w:name="_Toc184312124"/>
      <w:bookmarkEnd w:id="217"/>
      <w:bookmarkStart w:id="218" w:name="_Toc184308099"/>
      <w:bookmarkEnd w:id="218"/>
      <w:bookmarkStart w:id="219" w:name="_Toc184313246"/>
      <w:bookmarkEnd w:id="219"/>
      <w:bookmarkStart w:id="220" w:name="_Toc184313281"/>
      <w:bookmarkEnd w:id="220"/>
      <w:bookmarkStart w:id="221" w:name="_Toc184313295"/>
      <w:bookmarkEnd w:id="221"/>
      <w:bookmarkStart w:id="222" w:name="_Toc184314424"/>
      <w:bookmarkEnd w:id="222"/>
      <w:bookmarkStart w:id="223" w:name="_Toc184312082"/>
      <w:bookmarkEnd w:id="223"/>
      <w:bookmarkStart w:id="224" w:name="_Toc184313292"/>
      <w:bookmarkEnd w:id="224"/>
      <w:bookmarkStart w:id="225" w:name="_Toc184308102"/>
      <w:bookmarkEnd w:id="225"/>
      <w:bookmarkStart w:id="226" w:name="_Toc184314429"/>
      <w:bookmarkEnd w:id="226"/>
      <w:bookmarkStart w:id="227" w:name="_Toc184313260"/>
      <w:bookmarkEnd w:id="227"/>
      <w:bookmarkStart w:id="228" w:name="_Toc184313269"/>
      <w:bookmarkEnd w:id="228"/>
      <w:bookmarkStart w:id="229" w:name="_Toc184312102"/>
      <w:bookmarkEnd w:id="229"/>
      <w:bookmarkStart w:id="230" w:name="_Toc184314415"/>
      <w:bookmarkEnd w:id="230"/>
      <w:bookmarkStart w:id="231" w:name="_Toc184313243"/>
      <w:bookmarkEnd w:id="231"/>
      <w:bookmarkStart w:id="232" w:name="_Toc184314470"/>
      <w:bookmarkEnd w:id="232"/>
      <w:bookmarkStart w:id="233" w:name="_Toc184310276"/>
      <w:bookmarkEnd w:id="233"/>
      <w:bookmarkStart w:id="234" w:name="_Toc184313245"/>
      <w:bookmarkEnd w:id="234"/>
      <w:bookmarkStart w:id="235" w:name="_Toc184310277"/>
      <w:bookmarkEnd w:id="235"/>
      <w:bookmarkStart w:id="236" w:name="_Toc184314476"/>
      <w:bookmarkEnd w:id="236"/>
      <w:bookmarkStart w:id="237" w:name="_Toc184312086"/>
      <w:bookmarkEnd w:id="237"/>
      <w:bookmarkStart w:id="238" w:name="_Toc184313305"/>
      <w:bookmarkEnd w:id="238"/>
      <w:bookmarkStart w:id="239" w:name="_Toc184314454"/>
      <w:bookmarkEnd w:id="239"/>
      <w:bookmarkStart w:id="240" w:name="_Toc184313254"/>
      <w:bookmarkEnd w:id="240"/>
      <w:bookmarkStart w:id="241" w:name="_Toc184313265"/>
      <w:bookmarkEnd w:id="241"/>
      <w:bookmarkStart w:id="242" w:name="_Toc184314444"/>
      <w:bookmarkEnd w:id="242"/>
      <w:bookmarkStart w:id="243" w:name="_Toc184313247"/>
      <w:bookmarkEnd w:id="243"/>
      <w:bookmarkStart w:id="244" w:name="_Toc184308041"/>
      <w:bookmarkEnd w:id="244"/>
      <w:bookmarkStart w:id="245" w:name="_Toc184312111"/>
      <w:bookmarkEnd w:id="245"/>
      <w:bookmarkStart w:id="246" w:name="_Toc184313285"/>
      <w:bookmarkEnd w:id="246"/>
      <w:bookmarkStart w:id="247" w:name="_Toc184313287"/>
      <w:bookmarkEnd w:id="247"/>
      <w:bookmarkStart w:id="248" w:name="_Toc184310306"/>
      <w:bookmarkEnd w:id="248"/>
      <w:bookmarkStart w:id="249" w:name="_Toc184313258"/>
      <w:bookmarkEnd w:id="249"/>
      <w:bookmarkStart w:id="250" w:name="_Toc184310324"/>
      <w:bookmarkEnd w:id="250"/>
      <w:bookmarkStart w:id="251" w:name="_Toc184312120"/>
      <w:bookmarkEnd w:id="251"/>
      <w:bookmarkStart w:id="252" w:name="_Toc184314433"/>
      <w:bookmarkEnd w:id="252"/>
      <w:bookmarkStart w:id="253" w:name="_Toc184308081"/>
      <w:bookmarkEnd w:id="253"/>
      <w:bookmarkStart w:id="254" w:name="_Toc184308067"/>
      <w:bookmarkEnd w:id="254"/>
      <w:bookmarkStart w:id="255" w:name="_Toc184308075"/>
      <w:bookmarkEnd w:id="255"/>
      <w:bookmarkStart w:id="256" w:name="_Toc184314456"/>
      <w:bookmarkEnd w:id="256"/>
      <w:bookmarkStart w:id="257" w:name="_Toc184310336"/>
      <w:bookmarkEnd w:id="257"/>
      <w:bookmarkStart w:id="258" w:name="_Toc184312110"/>
      <w:bookmarkEnd w:id="258"/>
      <w:bookmarkStart w:id="259" w:name="_Toc184312077"/>
      <w:bookmarkEnd w:id="259"/>
      <w:bookmarkStart w:id="260" w:name="_Toc184312106"/>
      <w:bookmarkEnd w:id="260"/>
      <w:bookmarkStart w:id="261" w:name="_Toc184314434"/>
      <w:bookmarkEnd w:id="261"/>
      <w:bookmarkStart w:id="262" w:name="_Toc184310332"/>
      <w:bookmarkEnd w:id="262"/>
      <w:bookmarkStart w:id="263" w:name="_Toc184310274"/>
      <w:bookmarkEnd w:id="263"/>
      <w:bookmarkStart w:id="264" w:name="_Toc184313289"/>
      <w:bookmarkEnd w:id="264"/>
      <w:bookmarkStart w:id="265" w:name="_Toc184308100"/>
      <w:bookmarkEnd w:id="265"/>
      <w:bookmarkStart w:id="266" w:name="_Toc184314421"/>
      <w:bookmarkEnd w:id="266"/>
      <w:bookmarkStart w:id="267" w:name="_Toc184314420"/>
      <w:bookmarkEnd w:id="267"/>
      <w:bookmarkStart w:id="268" w:name="_Toc184310316"/>
      <w:bookmarkEnd w:id="268"/>
      <w:bookmarkStart w:id="269" w:name="_Toc184310318"/>
      <w:bookmarkEnd w:id="269"/>
      <w:bookmarkStart w:id="270" w:name="_Toc184308080"/>
      <w:bookmarkEnd w:id="270"/>
      <w:bookmarkStart w:id="271" w:name="_Toc184308050"/>
      <w:bookmarkEnd w:id="271"/>
      <w:bookmarkStart w:id="272" w:name="_Toc184308092"/>
      <w:bookmarkEnd w:id="272"/>
      <w:bookmarkStart w:id="273" w:name="_Toc184314473"/>
      <w:bookmarkEnd w:id="273"/>
      <w:bookmarkStart w:id="274" w:name="_Toc184312089"/>
      <w:bookmarkEnd w:id="274"/>
      <w:bookmarkStart w:id="275" w:name="_Toc184313239"/>
      <w:bookmarkEnd w:id="275"/>
      <w:bookmarkStart w:id="276" w:name="_Toc184314435"/>
      <w:bookmarkEnd w:id="276"/>
      <w:bookmarkStart w:id="277" w:name="_Toc184313257"/>
      <w:bookmarkEnd w:id="277"/>
      <w:bookmarkStart w:id="278" w:name="_Toc184308047"/>
      <w:bookmarkEnd w:id="278"/>
      <w:bookmarkStart w:id="279" w:name="_Toc184314467"/>
      <w:bookmarkEnd w:id="279"/>
      <w:bookmarkStart w:id="280" w:name="_Toc184310315"/>
      <w:bookmarkEnd w:id="280"/>
      <w:bookmarkStart w:id="281" w:name="_Toc184308085"/>
      <w:bookmarkEnd w:id="281"/>
      <w:bookmarkStart w:id="282" w:name="_Toc184310297"/>
      <w:bookmarkEnd w:id="282"/>
      <w:bookmarkStart w:id="283" w:name="_Toc184310317"/>
      <w:bookmarkEnd w:id="283"/>
      <w:bookmarkStart w:id="284" w:name="_Toc184308061"/>
      <w:bookmarkEnd w:id="284"/>
      <w:bookmarkStart w:id="285" w:name="_Toc184314445"/>
      <w:bookmarkEnd w:id="285"/>
      <w:bookmarkStart w:id="286" w:name="_Toc184310337"/>
      <w:bookmarkEnd w:id="286"/>
      <w:bookmarkStart w:id="287" w:name="_Toc184312096"/>
      <w:bookmarkEnd w:id="287"/>
      <w:bookmarkStart w:id="288" w:name="_Toc184313249"/>
      <w:bookmarkEnd w:id="288"/>
      <w:bookmarkStart w:id="289" w:name="_Toc184313244"/>
      <w:bookmarkEnd w:id="289"/>
      <w:bookmarkStart w:id="290" w:name="_Toc184310283"/>
      <w:bookmarkEnd w:id="290"/>
      <w:bookmarkStart w:id="291" w:name="_Toc184313256"/>
      <w:bookmarkEnd w:id="291"/>
      <w:bookmarkStart w:id="292" w:name="_Toc184310279"/>
      <w:bookmarkEnd w:id="292"/>
      <w:bookmarkStart w:id="293" w:name="_Toc184312115"/>
      <w:bookmarkEnd w:id="293"/>
      <w:bookmarkStart w:id="294" w:name="_Toc184312128"/>
      <w:bookmarkEnd w:id="294"/>
      <w:bookmarkStart w:id="295" w:name="_Toc184314464"/>
      <w:bookmarkEnd w:id="295"/>
      <w:bookmarkStart w:id="296" w:name="_Toc184312099"/>
      <w:bookmarkEnd w:id="296"/>
      <w:bookmarkStart w:id="297" w:name="_Toc184314426"/>
      <w:bookmarkEnd w:id="297"/>
      <w:bookmarkStart w:id="298" w:name="_Toc184314477"/>
      <w:bookmarkEnd w:id="298"/>
      <w:bookmarkStart w:id="299" w:name="_Toc184312100"/>
      <w:bookmarkEnd w:id="299"/>
      <w:bookmarkStart w:id="300" w:name="_Toc184310311"/>
      <w:bookmarkEnd w:id="300"/>
      <w:bookmarkStart w:id="301" w:name="_Toc184308043"/>
      <w:bookmarkEnd w:id="301"/>
      <w:bookmarkStart w:id="302" w:name="_Toc184313306"/>
      <w:bookmarkEnd w:id="302"/>
      <w:bookmarkStart w:id="303" w:name="_Toc184313274"/>
      <w:bookmarkEnd w:id="303"/>
      <w:bookmarkStart w:id="304" w:name="_Toc184308086"/>
      <w:bookmarkEnd w:id="304"/>
      <w:bookmarkStart w:id="305" w:name="_Toc184308089"/>
      <w:bookmarkEnd w:id="305"/>
      <w:bookmarkStart w:id="306" w:name="_Toc184308091"/>
      <w:bookmarkEnd w:id="306"/>
      <w:bookmarkStart w:id="307" w:name="_Toc184312130"/>
      <w:bookmarkEnd w:id="307"/>
      <w:bookmarkStart w:id="308" w:name="_Toc184308045"/>
      <w:bookmarkEnd w:id="308"/>
      <w:bookmarkStart w:id="309" w:name="_Toc184310310"/>
      <w:bookmarkEnd w:id="309"/>
      <w:bookmarkStart w:id="310" w:name="_Toc184314453"/>
      <w:bookmarkEnd w:id="310"/>
      <w:bookmarkStart w:id="311" w:name="_Toc184310326"/>
      <w:bookmarkEnd w:id="311"/>
      <w:bookmarkStart w:id="312" w:name="_Toc184313263"/>
      <w:bookmarkEnd w:id="312"/>
      <w:bookmarkStart w:id="313" w:name="_Toc184310284"/>
      <w:bookmarkEnd w:id="313"/>
      <w:bookmarkStart w:id="314" w:name="_Toc184312119"/>
      <w:bookmarkEnd w:id="314"/>
      <w:bookmarkStart w:id="315" w:name="_Toc184310308"/>
      <w:bookmarkEnd w:id="315"/>
      <w:bookmarkStart w:id="316" w:name="_Toc184312078"/>
      <w:bookmarkEnd w:id="316"/>
      <w:bookmarkStart w:id="317" w:name="_Toc184312105"/>
      <w:bookmarkEnd w:id="317"/>
      <w:bookmarkStart w:id="318" w:name="_Toc184314443"/>
      <w:bookmarkEnd w:id="318"/>
      <w:bookmarkStart w:id="319" w:name="_Toc184314428"/>
      <w:bookmarkEnd w:id="319"/>
      <w:bookmarkStart w:id="320" w:name="_Toc184312092"/>
      <w:bookmarkEnd w:id="320"/>
      <w:bookmarkStart w:id="321" w:name="_Toc184314478"/>
      <w:bookmarkEnd w:id="321"/>
      <w:bookmarkStart w:id="322" w:name="_Toc184314414"/>
      <w:bookmarkEnd w:id="322"/>
      <w:bookmarkStart w:id="323" w:name="_Toc184310320"/>
      <w:bookmarkEnd w:id="323"/>
      <w:bookmarkStart w:id="324" w:name="_Toc184310295"/>
      <w:bookmarkEnd w:id="324"/>
      <w:bookmarkStart w:id="325" w:name="_Toc184313261"/>
      <w:bookmarkEnd w:id="325"/>
      <w:bookmarkStart w:id="326" w:name="_Toc184310286"/>
      <w:bookmarkEnd w:id="326"/>
      <w:bookmarkStart w:id="327" w:name="_Toc184312123"/>
      <w:bookmarkEnd w:id="327"/>
      <w:bookmarkStart w:id="328" w:name="_Toc184312091"/>
      <w:bookmarkEnd w:id="328"/>
      <w:bookmarkStart w:id="329" w:name="_Toc184310312"/>
      <w:bookmarkEnd w:id="329"/>
      <w:bookmarkStart w:id="330" w:name="_Toc184313270"/>
      <w:bookmarkEnd w:id="330"/>
      <w:bookmarkStart w:id="331" w:name="_Toc184312121"/>
      <w:bookmarkEnd w:id="331"/>
      <w:bookmarkStart w:id="332" w:name="_Toc184308068"/>
      <w:bookmarkEnd w:id="332"/>
      <w:bookmarkStart w:id="333" w:name="_Toc184314471"/>
      <w:bookmarkEnd w:id="333"/>
      <w:bookmarkStart w:id="334" w:name="_Toc184310287"/>
      <w:bookmarkEnd w:id="334"/>
      <w:bookmarkStart w:id="335" w:name="_Toc184310343"/>
      <w:bookmarkEnd w:id="335"/>
      <w:bookmarkStart w:id="336" w:name="_Toc184312113"/>
      <w:bookmarkEnd w:id="336"/>
      <w:bookmarkStart w:id="337" w:name="_Toc184308049"/>
      <w:bookmarkEnd w:id="337"/>
      <w:bookmarkStart w:id="338" w:name="_Toc184314469"/>
      <w:bookmarkEnd w:id="338"/>
      <w:bookmarkStart w:id="339" w:name="_Toc184308052"/>
      <w:bookmarkEnd w:id="339"/>
      <w:bookmarkStart w:id="340" w:name="_Toc184310288"/>
      <w:bookmarkEnd w:id="340"/>
      <w:bookmarkStart w:id="341" w:name="_Toc184312129"/>
      <w:bookmarkEnd w:id="341"/>
      <w:bookmarkStart w:id="342" w:name="_Toc184312070"/>
      <w:bookmarkEnd w:id="342"/>
      <w:bookmarkStart w:id="343" w:name="_Toc184313267"/>
      <w:bookmarkEnd w:id="343"/>
      <w:bookmarkStart w:id="344" w:name="_Toc184312132"/>
      <w:bookmarkEnd w:id="344"/>
      <w:bookmarkStart w:id="345" w:name="_Toc184314413"/>
      <w:bookmarkEnd w:id="345"/>
      <w:bookmarkStart w:id="346" w:name="_Toc184314474"/>
      <w:bookmarkEnd w:id="346"/>
      <w:bookmarkStart w:id="347" w:name="_Toc184310289"/>
      <w:bookmarkEnd w:id="347"/>
      <w:bookmarkStart w:id="348" w:name="_Toc184313268"/>
      <w:bookmarkEnd w:id="348"/>
      <w:bookmarkStart w:id="349" w:name="_Toc184312125"/>
      <w:bookmarkEnd w:id="349"/>
      <w:bookmarkStart w:id="350" w:name="_Toc184312127"/>
      <w:bookmarkEnd w:id="350"/>
      <w:bookmarkStart w:id="351" w:name="_Toc184314459"/>
      <w:bookmarkEnd w:id="351"/>
      <w:bookmarkStart w:id="352" w:name="_Toc184310333"/>
      <w:bookmarkEnd w:id="352"/>
      <w:bookmarkStart w:id="353" w:name="_Toc184308077"/>
      <w:bookmarkEnd w:id="353"/>
      <w:bookmarkStart w:id="354" w:name="_Toc184314481"/>
      <w:bookmarkEnd w:id="354"/>
      <w:bookmarkStart w:id="355" w:name="_Toc184308058"/>
      <w:bookmarkEnd w:id="355"/>
      <w:bookmarkStart w:id="356" w:name="_Toc184313294"/>
      <w:bookmarkEnd w:id="356"/>
      <w:bookmarkStart w:id="357" w:name="_Toc184314479"/>
      <w:bookmarkEnd w:id="357"/>
      <w:bookmarkStart w:id="358" w:name="_Toc184312109"/>
      <w:bookmarkEnd w:id="358"/>
      <w:bookmarkStart w:id="359" w:name="_Toc184310330"/>
      <w:bookmarkEnd w:id="359"/>
      <w:bookmarkStart w:id="360" w:name="_Toc184308054"/>
      <w:bookmarkEnd w:id="360"/>
      <w:bookmarkStart w:id="361" w:name="_Toc184312126"/>
      <w:bookmarkEnd w:id="361"/>
      <w:bookmarkStart w:id="362" w:name="_Toc184310319"/>
      <w:bookmarkEnd w:id="362"/>
      <w:bookmarkStart w:id="363" w:name="_Toc184308074"/>
      <w:bookmarkEnd w:id="363"/>
      <w:bookmarkStart w:id="364" w:name="_Toc184314437"/>
      <w:bookmarkEnd w:id="364"/>
      <w:bookmarkStart w:id="365" w:name="_Toc184314440"/>
      <w:bookmarkEnd w:id="365"/>
      <w:bookmarkStart w:id="366" w:name="_Toc184312076"/>
      <w:bookmarkEnd w:id="366"/>
      <w:bookmarkStart w:id="367" w:name="_Toc184312108"/>
      <w:bookmarkEnd w:id="367"/>
      <w:bookmarkStart w:id="368" w:name="_Toc184308059"/>
      <w:bookmarkEnd w:id="368"/>
      <w:bookmarkStart w:id="369" w:name="_Toc184314430"/>
      <w:bookmarkEnd w:id="369"/>
      <w:bookmarkStart w:id="370" w:name="_Toc184308042"/>
      <w:bookmarkEnd w:id="370"/>
      <w:bookmarkStart w:id="371" w:name="_Toc184313273"/>
      <w:bookmarkEnd w:id="371"/>
      <w:bookmarkStart w:id="372" w:name="_Toc184308060"/>
      <w:bookmarkEnd w:id="372"/>
      <w:bookmarkStart w:id="373" w:name="_Toc184313301"/>
      <w:bookmarkEnd w:id="373"/>
      <w:bookmarkStart w:id="374" w:name="_Toc184314472"/>
      <w:bookmarkEnd w:id="374"/>
      <w:bookmarkStart w:id="375" w:name="_Toc184312074"/>
      <w:bookmarkEnd w:id="375"/>
      <w:bookmarkStart w:id="376" w:name="_Toc184314455"/>
      <w:bookmarkEnd w:id="376"/>
      <w:bookmarkStart w:id="377" w:name="_Toc184314466"/>
      <w:bookmarkEnd w:id="377"/>
      <w:bookmarkStart w:id="378" w:name="_Toc184312133"/>
      <w:bookmarkEnd w:id="378"/>
      <w:bookmarkStart w:id="379" w:name="_Toc184313277"/>
      <w:bookmarkEnd w:id="379"/>
      <w:bookmarkStart w:id="380" w:name="_Toc184312095"/>
      <w:bookmarkEnd w:id="380"/>
      <w:bookmarkStart w:id="381" w:name="_Toc184308083"/>
      <w:bookmarkEnd w:id="381"/>
      <w:bookmarkStart w:id="382" w:name="_Toc184313303"/>
      <w:bookmarkEnd w:id="382"/>
      <w:bookmarkStart w:id="383" w:name="_Toc184308039"/>
      <w:bookmarkEnd w:id="383"/>
      <w:bookmarkStart w:id="384" w:name="_Toc184308106"/>
      <w:bookmarkEnd w:id="384"/>
      <w:bookmarkStart w:id="385" w:name="_Toc184312081"/>
      <w:bookmarkEnd w:id="385"/>
      <w:bookmarkStart w:id="386" w:name="_Toc184313280"/>
      <w:bookmarkEnd w:id="386"/>
      <w:bookmarkStart w:id="387" w:name="_Toc184313279"/>
      <w:bookmarkEnd w:id="387"/>
      <w:bookmarkStart w:id="388" w:name="_Toc184314475"/>
      <w:bookmarkEnd w:id="388"/>
      <w:bookmarkStart w:id="389" w:name="_Toc184308095"/>
      <w:bookmarkEnd w:id="389"/>
      <w:bookmarkStart w:id="390" w:name="_Toc184308087"/>
      <w:bookmarkEnd w:id="390"/>
      <w:bookmarkStart w:id="391" w:name="_Toc184312103"/>
      <w:bookmarkEnd w:id="391"/>
      <w:bookmarkStart w:id="392" w:name="_Toc184313240"/>
      <w:bookmarkEnd w:id="392"/>
      <w:r>
        <w:rPr>
          <w:rFonts w:hint="eastAsia" w:ascii="仿宋" w:hAnsi="仿宋" w:eastAsia="仿宋" w:cs="仿宋_GB2312"/>
          <w:b/>
          <w:color w:val="auto"/>
          <w:sz w:val="36"/>
          <w:szCs w:val="36"/>
          <w:highlight w:val="none"/>
        </w:rPr>
        <w:t>评标办法</w:t>
      </w:r>
    </w:p>
    <w:p>
      <w:pPr>
        <w:snapToGrid w:val="0"/>
        <w:spacing w:line="360" w:lineRule="auto"/>
        <w:jc w:val="center"/>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p>
      <w:pPr>
        <w:spacing w:line="360" w:lineRule="auto"/>
        <w:contextualSpacing/>
        <w:jc w:val="both"/>
        <w:rPr>
          <w:color w:val="auto"/>
          <w:highlight w:val="none"/>
        </w:rPr>
      </w:pPr>
      <w:r>
        <w:rPr>
          <w:rFonts w:hint="eastAsia" w:ascii="仿宋" w:hAnsi="仿宋" w:eastAsia="仿宋" w:cs="仿宋"/>
          <w:b/>
          <w:color w:val="auto"/>
          <w:sz w:val="24"/>
          <w:szCs w:val="24"/>
          <w:highlight w:val="none"/>
          <w:lang w:val="en-US" w:eastAsia="zh-CN"/>
        </w:rPr>
        <w:t>标项一：温室气体手工监测及移动监测服务项目项目</w:t>
      </w:r>
    </w:p>
    <w:tbl>
      <w:tblPr>
        <w:tblStyle w:val="64"/>
        <w:tblpPr w:leftFromText="180" w:rightFromText="180" w:vertAnchor="text" w:horzAnchor="page" w:tblpXSpec="center" w:tblpY="126"/>
        <w:tblW w:w="10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560"/>
        <w:gridCol w:w="810"/>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6560"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评标标准</w:t>
            </w:r>
          </w:p>
        </w:tc>
        <w:tc>
          <w:tcPr>
            <w:tcW w:w="810"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权重</w:t>
            </w:r>
          </w:p>
        </w:tc>
        <w:tc>
          <w:tcPr>
            <w:tcW w:w="1956"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投标文件中评标标准相应的商务技术资料目录</w:t>
            </w:r>
            <w:r>
              <w:rPr>
                <w:rFonts w:hint="eastAsia" w:ascii="仿宋" w:hAnsi="仿宋" w:eastAsia="仿宋" w:cs="仿宋"/>
                <w:b/>
                <w:color w:val="auto"/>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本项目的总体理解：对本项目的总体思路明确，对项目内容认知客观，符合用户实际需求，所涉及的工作思路清晰、技术路线把握准确的得5分；总体理解基本合理但欠缺的，得3分；总体理解存在明显缺陷的，得1分；未提供的得0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项目总体理解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项目服务方案</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手工采样方案</w:t>
            </w:r>
            <w:r>
              <w:rPr>
                <w:rFonts w:hint="eastAsia" w:ascii="仿宋" w:hAnsi="仿宋" w:eastAsia="仿宋" w:cs="仿宋"/>
                <w:color w:val="auto"/>
                <w:sz w:val="24"/>
                <w:szCs w:val="24"/>
                <w:highlight w:val="none"/>
              </w:rPr>
              <w:t>科学、合理、有针对性的，得5分；方案基本合理但欠缺的得3分，未提供方案的得0分。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实验室分析方案</w:t>
            </w:r>
            <w:r>
              <w:rPr>
                <w:rFonts w:hint="eastAsia" w:ascii="仿宋" w:hAnsi="仿宋" w:eastAsia="仿宋" w:cs="仿宋"/>
                <w:color w:val="auto"/>
                <w:sz w:val="24"/>
                <w:szCs w:val="24"/>
                <w:highlight w:val="none"/>
              </w:rPr>
              <w:t>科学、合理、有针对性的，得5分；方案基本合理但欠缺的得3分，未提供方案的得0分。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走航及无人机监测方案</w:t>
            </w:r>
            <w:r>
              <w:rPr>
                <w:rFonts w:hint="eastAsia" w:ascii="仿宋" w:hAnsi="仿宋" w:eastAsia="仿宋" w:cs="仿宋"/>
                <w:color w:val="auto"/>
                <w:sz w:val="24"/>
                <w:szCs w:val="24"/>
                <w:highlight w:val="none"/>
              </w:rPr>
              <w:t>科学、合理、有针对性的，得5分；方案基本合理但欠缺的得3分，未提供方案的得0分。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数据分析方案</w:t>
            </w:r>
            <w:r>
              <w:rPr>
                <w:rFonts w:hint="eastAsia" w:ascii="仿宋" w:hAnsi="仿宋" w:eastAsia="仿宋" w:cs="仿宋"/>
                <w:color w:val="auto"/>
                <w:sz w:val="24"/>
                <w:szCs w:val="24"/>
                <w:highlight w:val="none"/>
              </w:rPr>
              <w:t>科学、合理、有针对性的，得5分；方案基本合理但欠缺的得3分，未提供方案的得0分。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质量保证方案</w:t>
            </w:r>
            <w:r>
              <w:rPr>
                <w:rFonts w:hint="eastAsia" w:ascii="仿宋" w:hAnsi="仿宋" w:eastAsia="仿宋" w:cs="仿宋"/>
                <w:color w:val="auto"/>
                <w:sz w:val="24"/>
                <w:szCs w:val="24"/>
                <w:highlight w:val="none"/>
              </w:rPr>
              <w:t>科学、合理、有针对性的，得5分；方案基本合理但欠缺的得3分，未提供方案的得0分。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项目组成员情况</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本项目组成员应不少于15人，不足15人不得分。具备人为活动温室气体（二氧化碳、甲烷、氧化亚氮、氢氟碳化合物、全氟化碳、六氟化硫、三氟化氮）分析能力一种以上的1人得1分，最高得4分。需提供人员履历表及劳动合同等证明材料，不提供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项目负责人具有环保类、检测分析类等相关环境检测专业高级职称的得3分，中级职称得2分，初级职称及以下不得分。提供证书复印件及劳动合同，不提供不得分。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项目组其他成员：</w:t>
            </w:r>
            <w:r>
              <w:rPr>
                <w:rFonts w:hint="eastAsia" w:ascii="仿宋" w:hAnsi="仿宋" w:eastAsia="仿宋" w:cs="仿宋"/>
                <w:bCs/>
                <w:color w:val="auto"/>
                <w:sz w:val="24"/>
                <w:szCs w:val="24"/>
                <w:highlight w:val="none"/>
              </w:rPr>
              <w:t>样品分析技术人员和数据分析技术人员</w:t>
            </w:r>
            <w:r>
              <w:rPr>
                <w:rFonts w:hint="eastAsia" w:ascii="仿宋" w:hAnsi="仿宋" w:eastAsia="仿宋" w:cs="仿宋"/>
                <w:color w:val="auto"/>
                <w:sz w:val="24"/>
                <w:szCs w:val="24"/>
                <w:highlight w:val="none"/>
              </w:rPr>
              <w:t>具有中级及以上职称的，每有一人得1分，满分4分。提供证书复印件及劳动合同，不提供不得分。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配备1名专职工作人员，工作地点为甲方指定地点，负责与甲方进行任务对接、工作协调、数据汇总、整理与报送工作，中级职称得3分，初级职称得1分，初级以下不得分。</w:t>
            </w:r>
          </w:p>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注：与3.1至3.3所述人员不得重复计算。</w:t>
            </w:r>
            <w:r>
              <w:rPr>
                <w:rFonts w:hint="eastAsia" w:ascii="仿宋" w:hAnsi="仿宋" w:eastAsia="仿宋" w:cs="仿宋"/>
                <w:color w:val="auto"/>
                <w:sz w:val="24"/>
                <w:szCs w:val="24"/>
                <w:highlight w:val="none"/>
              </w:rPr>
              <w:t>提供证书复印件及劳动合同，不提供不得分。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分析检测能力。</w:t>
            </w:r>
          </w:p>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投标人提供承诺书（承诺书格式自拟），承诺内容至少包括：检测项目的数量达到多少项；承诺的检测项目清单与投标人的资质认定证书内容一致。如发现承诺与实际情况不符的，将以虚假应标处理。</w:t>
            </w:r>
          </w:p>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实验室检测能力以市场监督管理部门颁发的检验检测机构资质认定证书上的能力附表信息为准，证书、证明材料复印件或扫描件加盖公章编入投标文件，否则不得分。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分析检测能力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投标人具有检验检测机构资质认定证书（CMA）得2分，提供证书复印件，不提供不得分。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56" w:type="dxa"/>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投标人环境检测类CMA 检测能力包含四氟化碳、三氟化氮、三氟甲烷、八氟丙烷、六氟化硫、二氧化碳、甲烷、氧化亚氮、氢氟碳化合物、全氟化碳、六氟化硫、三氟化氮，每具备一种物质检测能力得1.5分，最高得18分。</w:t>
            </w:r>
          </w:p>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提供检测能力资质认定证书等证明材料，不提供不得分。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1956" w:type="dxa"/>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投标实验室仪器设备（提供有效期内第三方检测机构出具的检定证书或校准证书，加盖公章，否则不得分）。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实验室仪器设备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投标实验室配备空气预浓缩仪-气相色谱质谱联用仪，2台或2台以上得3分，1台得2分，未配置不得分。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投标实验室配备傅里叶红外光谱仪，1台或1台以上得2分，未配置不得分。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投标实验室配备ECD检测器-气相色谱仪，2台或2台以上得2分，1台得1分，未配置不得分。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投标实验室配备双FID检测器-气相色谱仪，1台得1分，2台及以上得2分，未配置不得分。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5.5</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投标实验室配备环境空气采样苏码罐，30个或30个以上得2分，20（含）~30（不含）个得1分，20个以下不得分。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5.6</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投标实验室配备环境空气正压采样器，6台及以上得2分；5台得1分；0~4台不得分。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投标人用于走航监测的走航车及监测仪器设备情况：</w:t>
            </w:r>
          </w:p>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1.具备能够立即开展走航监测任务车辆及仪器的得4分，需提供车辆及仪器购买或租赁合同等相关证明材料，以及承诺函。（4分）</w:t>
            </w:r>
          </w:p>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2.承诺中标后一个月内能够开展走航监测任务的得2分，以投标文件提供的承诺函为准。（2分）</w:t>
            </w:r>
          </w:p>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其他不得分。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走航监测车辆及仪器情况</w:t>
            </w:r>
          </w:p>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无人机要求：投标人承诺中标后一个月内能够开展无人机监测任务的得2分，以投标文件提供的承诺函为准。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无人机要求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车辆（除走航车外）：</w:t>
            </w:r>
            <w:bookmarkStart w:id="393" w:name="_Hlk112189902"/>
            <w:r>
              <w:rPr>
                <w:rFonts w:hint="eastAsia" w:ascii="仿宋" w:hAnsi="仿宋" w:eastAsia="仿宋" w:cs="仿宋"/>
                <w:color w:val="auto"/>
                <w:sz w:val="24"/>
                <w:szCs w:val="24"/>
                <w:highlight w:val="none"/>
              </w:rPr>
              <w:t>投标人具备运维车辆数量6辆及以上的得4分，5辆的得2分，其他不得分。至少5辆</w:t>
            </w:r>
            <w:bookmarkEnd w:id="393"/>
            <w:r>
              <w:rPr>
                <w:rFonts w:hint="eastAsia" w:ascii="仿宋" w:hAnsi="仿宋" w:eastAsia="仿宋" w:cs="仿宋"/>
                <w:color w:val="auto"/>
                <w:sz w:val="24"/>
                <w:szCs w:val="24"/>
                <w:highlight w:val="none"/>
              </w:rPr>
              <w:t>，每增加1辆得2分；最高得4分。</w:t>
            </w:r>
          </w:p>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提供投标人针对本项目配置的车辆的行驶证、购置或租赁合同复印件、车辆外观照片。</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车辆配置情况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6560" w:type="dxa"/>
            <w:vAlign w:val="center"/>
          </w:tcPr>
          <w:p>
            <w:pPr>
              <w:keepNext w:val="0"/>
              <w:keepLines w:val="0"/>
              <w:pageBreakBefore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合理化建议：针对本项目的重点、难点，提出合理化建议，且所提建议确实能对项目的实施产生有益作用的，根据建议内容打分。</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6560" w:type="dxa"/>
          </w:tcPr>
          <w:p>
            <w:pPr>
              <w:keepNext w:val="0"/>
              <w:keepLines w:val="0"/>
              <w:pageBreakBefore w:val="0"/>
              <w:kinsoku/>
              <w:wordWrap/>
              <w:overflowPunct/>
              <w:topLinePunct w:val="0"/>
              <w:autoSpaceDE/>
              <w:autoSpaceDN/>
              <w:bidi w:val="0"/>
              <w:adjustRightInd w:val="0"/>
              <w:snapToGrid/>
              <w:spacing w:line="360" w:lineRule="auto"/>
              <w:contextualSpacing/>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有效投标报价的最低价作为评标基准价，其最低报价为满分；按［投标报价得分=（评标基准价/投标报价）*10］的计算公式计算。</w:t>
            </w:r>
          </w:p>
          <w:p>
            <w:pPr>
              <w:keepNext w:val="0"/>
              <w:keepLines w:val="0"/>
              <w:pageBreakBefore w:val="0"/>
              <w:widowControl/>
              <w:shd w:val="clear" w:color="auto" w:fill="FFFFFF"/>
              <w:kinsoku/>
              <w:wordWrap/>
              <w:overflowPunct/>
              <w:topLinePunct w:val="0"/>
              <w:autoSpaceDE/>
              <w:autoSpaceDN/>
              <w:bidi w:val="0"/>
              <w:adjustRightInd w:val="0"/>
              <w:snapToGrid/>
              <w:spacing w:line="360" w:lineRule="auto"/>
              <w:ind w:firstLine="420"/>
              <w:contextualSpacing/>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val="0"/>
              <w:snapToGrid/>
              <w:spacing w:line="360" w:lineRule="auto"/>
              <w:ind w:firstLine="420"/>
              <w:contextualSpacing/>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因落实政府采购政策需要进行价格调整的，以调整后的价格计算评标基准价和投标报价。</w:t>
            </w:r>
          </w:p>
        </w:tc>
        <w:tc>
          <w:tcPr>
            <w:tcW w:w="810" w:type="dxa"/>
            <w:vAlign w:val="center"/>
          </w:tcPr>
          <w:p>
            <w:pPr>
              <w:keepNext w:val="0"/>
              <w:keepLines w:val="0"/>
              <w:pageBreakBefore w:val="0"/>
              <w:kinsoku/>
              <w:wordWrap/>
              <w:overflowPunct/>
              <w:topLinePunct w:val="0"/>
              <w:autoSpaceDE/>
              <w:autoSpaceDN/>
              <w:bidi w:val="0"/>
              <w:adjustRightInd w:val="0"/>
              <w:snapToGrid/>
              <w:spacing w:line="360" w:lineRule="auto"/>
              <w:ind w:firstLine="120" w:firstLineChars="5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956"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价格</w:t>
            </w:r>
          </w:p>
        </w:tc>
      </w:tr>
    </w:tbl>
    <w:p>
      <w:pP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br w:type="page"/>
      </w:r>
    </w:p>
    <w:p>
      <w:pPr>
        <w:rPr>
          <w:rFonts w:hint="eastAsia" w:ascii="仿宋" w:hAnsi="仿宋" w:eastAsia="仿宋" w:cs="仿宋_GB2312"/>
          <w:b/>
          <w:color w:val="auto"/>
          <w:sz w:val="24"/>
          <w:szCs w:val="24"/>
          <w:highlight w:val="none"/>
          <w:lang w:val="en-US" w:eastAsia="zh-CN"/>
        </w:rPr>
      </w:pPr>
      <w:r>
        <w:rPr>
          <w:rFonts w:hint="eastAsia" w:ascii="仿宋" w:hAnsi="仿宋" w:eastAsia="仿宋" w:cs="仿宋_GB2312"/>
          <w:b/>
          <w:color w:val="auto"/>
          <w:sz w:val="24"/>
          <w:szCs w:val="24"/>
          <w:highlight w:val="none"/>
          <w:lang w:val="en-US" w:eastAsia="zh-CN"/>
        </w:rPr>
        <w:t>标项二：杭州市温室气体同化反演及通量核算服务</w:t>
      </w:r>
    </w:p>
    <w:tbl>
      <w:tblPr>
        <w:tblStyle w:val="64"/>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6183"/>
        <w:gridCol w:w="93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序号</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评标标准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分值</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1</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rPr>
              <w:t>投标人自2019年1月1日以来承担过温室气体同化反演及通量核算相关项目的业绩，每提供一项得1分，满分1分。（根据投标文件提供的合同复印件打分，提供一个合同得1分，不提供不得分。）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1 </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2</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jc w:val="lef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rPr>
              <w:t>根据投标人针对本项目“二、技术要求”，针对指标逐条响应情况进行逐条对照打分，完全满足招标文件所有技术要求的得20分，每负偏离一项扣2分，扣完为止。</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20</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rPr>
              <w:t>技术指标</w:t>
            </w:r>
            <w:r>
              <w:rPr>
                <w:rFonts w:hint="eastAsia" w:ascii="仿宋" w:hAnsi="仿宋" w:eastAsia="仿宋" w:cs="仿宋"/>
                <w:bCs/>
                <w:color w:val="auto"/>
                <w:kern w:val="0"/>
                <w:sz w:val="24"/>
                <w:szCs w:val="24"/>
                <w:highlight w:val="none"/>
                <w:lang w:val="en-US" w:eastAsia="zh-CN"/>
              </w:rPr>
              <w:t>条款</w:t>
            </w:r>
            <w:r>
              <w:rPr>
                <w:rFonts w:hint="eastAsia" w:ascii="仿宋" w:hAnsi="仿宋" w:eastAsia="仿宋" w:cs="仿宋"/>
                <w:bCs/>
                <w:color w:val="auto"/>
                <w:kern w:val="0"/>
                <w:sz w:val="24"/>
                <w:szCs w:val="24"/>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技术方案</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w:t>
            </w:r>
          </w:p>
        </w:tc>
        <w:tc>
          <w:tcPr>
            <w:tcW w:w="618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RF模型建设技术方案，主要考察高分辨率气象模型构建能力，方案需包含气象同化、网格设置、垂直插值、模型本地化模拟等内容，上述内容全部涵盖且符合需求的得5分；方案略有欠缺但合理的得3分；方案缺乏详尽内容，描述简单的得1分；未提供的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3.2</w:t>
            </w:r>
          </w:p>
        </w:tc>
        <w:tc>
          <w:tcPr>
            <w:tcW w:w="618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多模式集合反演技术方案，主要考察温室气体同化反演能力，方案需包含</w:t>
            </w:r>
            <w:r>
              <w:rPr>
                <w:rFonts w:hint="eastAsia" w:ascii="仿宋" w:hAnsi="仿宋" w:eastAsia="仿宋" w:cs="仿宋"/>
                <w:bCs/>
                <w:color w:val="auto"/>
                <w:kern w:val="24"/>
                <w:sz w:val="24"/>
                <w:szCs w:val="24"/>
                <w:highlight w:val="none"/>
              </w:rPr>
              <w:t>化学传输模型构建、同化反演算法构建等内容，</w:t>
            </w:r>
            <w:r>
              <w:rPr>
                <w:rFonts w:hint="eastAsia" w:ascii="仿宋" w:hAnsi="仿宋" w:eastAsia="仿宋" w:cs="仿宋"/>
                <w:bCs/>
                <w:color w:val="auto"/>
                <w:sz w:val="24"/>
                <w:szCs w:val="24"/>
                <w:highlight w:val="none"/>
              </w:rPr>
              <w:t>上述内容全部涵盖且符合需求的得5分；方案略有欠缺但合理的得3分；方案缺乏详尽内容，描述简单的得1分；未提供的不得分。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3.3</w:t>
            </w:r>
          </w:p>
        </w:tc>
        <w:tc>
          <w:tcPr>
            <w:tcW w:w="618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生态系统碳通量模型建设技术方案，主要考察生态系统模型构建能力，方案需包含</w:t>
            </w:r>
            <w:r>
              <w:rPr>
                <w:rFonts w:hint="eastAsia" w:ascii="仿宋" w:hAnsi="仿宋" w:eastAsia="仿宋" w:cs="仿宋"/>
                <w:bCs/>
                <w:color w:val="auto"/>
                <w:kern w:val="24"/>
                <w:sz w:val="24"/>
                <w:szCs w:val="24"/>
                <w:highlight w:val="none"/>
              </w:rPr>
              <w:t>生态系统参数敏感性分析、多源遥感地表参数同化及模型网格设置等内容，</w:t>
            </w:r>
            <w:r>
              <w:rPr>
                <w:rFonts w:hint="eastAsia" w:ascii="仿宋" w:hAnsi="仿宋" w:eastAsia="仿宋" w:cs="仿宋"/>
                <w:bCs/>
                <w:color w:val="auto"/>
                <w:sz w:val="24"/>
                <w:szCs w:val="24"/>
                <w:highlight w:val="none"/>
              </w:rPr>
              <w:t>上述内容全部涵盖且符合需求的得5分；方案略有欠缺但合理的得3分；方案缺乏详尽内容，描述简单的得1分；未提供的不得分。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3.4</w:t>
            </w:r>
          </w:p>
        </w:tc>
        <w:tc>
          <w:tcPr>
            <w:tcW w:w="618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数据集成管理建设方案，主要考察监测数据集成及汇总能力，方案需包含站点列表、仪器在线监控、原始数据、审核数据等详细设计方案，上述内容全部涵盖且符合需求的得5分；方案略有欠缺但合理的得3分；方案缺乏详尽内容，描述简单的得1分；未提供的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3.5</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数据分析建设方案，主要考察多源监测数据对比分析展示能力，方案需包含温室气体在线监测数据、温室气体通量监测数据及气象数据综合分析详细设计方案，上述内容全部涵盖且符合需求的得5分；方案略有欠缺但合理的得3分；方案缺乏详尽内容，描述简单的得1分；未提供的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3.6</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温室气体排放展示建设方案，主要考察基础清单及反演产品的展示能力,方案需包含基础清单更新编制、网格化动态反演产品构建详细设计方案，上述内容全部涵盖且符合需求的得5分；方案略有欠缺但合理的得3分；方案缺乏详尽内容，描述简单的得1分；未提供的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3.7</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生态系统通量分析和展示建设方案，主要考察生态系统碳通量模拟与评估展示能力，方案需包含网格化碳通量时空分布特征、区域碳通量排名评估展示详细设计方案，上述内容全部涵盖且符合需求的得5分；方案略有欠缺但合理的得3分；方案缺乏详尽内容，描述简单的得1分；未提供的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3.8</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单位对典型城市的人为源碳排放时空分布特征的了解程度进行打分。要求针对浙江省碳排放时空变化特征、重点区域和时段变化特征进行分析，上述内容全部涵盖且符合需求的得5分；方案略有欠缺但合理的得3分；方案缺乏详尽内容，描述简单的得1分；未提供的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3.9</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根据投标人针对本项目编制方案的总体目标、思路、方案成果等进行打分。</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项目方案总体思路清晰、全面，目标明确，满足项目实际需求，方案成果内容齐全、结构完整、表述准确，合理可行的得5分；</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项目方案总体思路比较全面，基本满足项目实际需求，方案成果内容表述比较完善、合理的得3分；</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项目方案总体思路较简单，目标设定简单，较片面，方案成果缺乏详尽内容，描述简单的得1分；</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未提及项目编制思路，没有明确项目目标和项目成果的，该项不得分。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为保证项目顺利完成，提供合理可行的项目实施进度计划安排及对项目质量的保证措施。</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计划进度方案需包含详细的进度安排(细化到每周)、人员架构（模型模拟、人员工作经验等）、计算机资源保障措施，上述内容全部涵盖且符合需求的得5分；方案略有欠缺但合理的得3分；方案缺乏详尽内容，不具可操作性的得1分；未提供的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根据投标人提供的成果报告大纲及框架进行打分，内容详细丰富、分析方法合理得4分，基本合理得2分，未提供不得分。</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成果报告大纲及框架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项目团队</w:t>
            </w:r>
          </w:p>
        </w:tc>
        <w:tc>
          <w:tcPr>
            <w:tcW w:w="93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6.1</w:t>
            </w:r>
          </w:p>
        </w:tc>
        <w:tc>
          <w:tcPr>
            <w:tcW w:w="618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sz w:val="24"/>
                <w:szCs w:val="24"/>
                <w:highlight w:val="none"/>
              </w:rPr>
              <w:t>为保证项目实施质量，拟派本项目技术负责人具有副高级职称，得1分，具有正高级职称，得2分，本项最高2分。（根据投标文件提供的职称证书及劳动合同等相关证明材料打分，不提供不得分。）</w:t>
            </w:r>
          </w:p>
        </w:tc>
        <w:tc>
          <w:tcPr>
            <w:tcW w:w="93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6.2</w:t>
            </w:r>
          </w:p>
        </w:tc>
        <w:tc>
          <w:tcPr>
            <w:tcW w:w="618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为保证项目实施进度，拟派本项目工作小组人员（除技术负责人外）需具备1年以上相关工作经验，拟派本项目工作小组人员达到6人的得1分， 8人及以上得2分，最高得2分。（根据投标文件提供的履历表及劳务合同打分。）</w:t>
            </w:r>
          </w:p>
        </w:tc>
        <w:tc>
          <w:tcPr>
            <w:tcW w:w="93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6.3</w:t>
            </w:r>
          </w:p>
        </w:tc>
        <w:tc>
          <w:tcPr>
            <w:tcW w:w="6183"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拟派本项目工作小组人员有气象学专业背景的，提供3人及以上的得2分，少于3人不得分。（根据投标文件提供的学历证书、劳动合同等相关证明材料打分）</w:t>
            </w:r>
          </w:p>
        </w:tc>
        <w:tc>
          <w:tcPr>
            <w:tcW w:w="93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根据售后服务状况，响应是否及时，解决问题是否迅速。提供的售后服务方案和服务承诺情况，以及服务承诺的可行性、完整性以及服务承诺落实的保障措施等方面情况进行打分。</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lang w:val="en-US" w:eastAsia="zh-CN"/>
              </w:rPr>
              <w:t>1.</w:t>
            </w:r>
            <w:r>
              <w:rPr>
                <w:rFonts w:hint="eastAsia" w:ascii="仿宋" w:hAnsi="仿宋" w:eastAsia="仿宋" w:cs="仿宋"/>
                <w:bCs/>
                <w:color w:val="auto"/>
                <w:kern w:val="0"/>
                <w:sz w:val="24"/>
                <w:szCs w:val="24"/>
                <w:highlight w:val="none"/>
              </w:rPr>
              <w:t>售后服务方案科学合理、人员专业素质高，服务措施完善和服务承诺对项目后续保障有意义和必要性，服务响应时间便利、及时的得5分；</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lang w:val="en-US" w:eastAsia="zh-CN"/>
              </w:rPr>
              <w:t>2.</w:t>
            </w:r>
            <w:r>
              <w:rPr>
                <w:rFonts w:hint="eastAsia" w:ascii="仿宋" w:hAnsi="仿宋" w:eastAsia="仿宋" w:cs="仿宋"/>
                <w:bCs/>
                <w:color w:val="auto"/>
                <w:kern w:val="0"/>
                <w:sz w:val="24"/>
                <w:szCs w:val="24"/>
                <w:highlight w:val="none"/>
              </w:rPr>
              <w:t>售后服务方案基本合理，技术人员数量和专业性一般，有服务承诺的得3分；</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lang w:val="en-US" w:eastAsia="zh-CN"/>
              </w:rPr>
              <w:t>3.</w:t>
            </w:r>
            <w:r>
              <w:rPr>
                <w:rFonts w:hint="eastAsia" w:ascii="仿宋" w:hAnsi="仿宋" w:eastAsia="仿宋" w:cs="仿宋"/>
                <w:bCs/>
                <w:color w:val="auto"/>
                <w:kern w:val="0"/>
                <w:sz w:val="24"/>
                <w:szCs w:val="24"/>
                <w:highlight w:val="none"/>
              </w:rPr>
              <w:t>售后服务方案简单，对项目后续服务保障性有欠缺，服务响应时间缺乏及时性的得1分；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lang w:val="en-US" w:eastAsia="zh-CN"/>
              </w:rPr>
              <w:t>4.</w:t>
            </w:r>
            <w:r>
              <w:rPr>
                <w:rFonts w:hint="eastAsia" w:ascii="仿宋" w:hAnsi="仿宋" w:eastAsia="仿宋" w:cs="仿宋"/>
                <w:bCs/>
                <w:color w:val="auto"/>
                <w:kern w:val="0"/>
                <w:sz w:val="24"/>
                <w:szCs w:val="24"/>
                <w:highlight w:val="none"/>
              </w:rPr>
              <w:t>未提供售后服务方案及相应的服务人员和服务承诺措施的，该项不得分。</w:t>
            </w:r>
          </w:p>
        </w:tc>
        <w:tc>
          <w:tcPr>
            <w:tcW w:w="93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kern w:val="0"/>
                <w:sz w:val="24"/>
                <w:szCs w:val="24"/>
                <w:highlight w:val="none"/>
              </w:rPr>
              <w:t>售后服务</w:t>
            </w:r>
            <w:r>
              <w:rPr>
                <w:rFonts w:hint="eastAsia" w:ascii="仿宋" w:hAnsi="仿宋" w:eastAsia="仿宋" w:cs="仿宋"/>
                <w:bCs/>
                <w:color w:val="auto"/>
                <w:kern w:val="0"/>
                <w:sz w:val="24"/>
                <w:szCs w:val="24"/>
                <w:highlight w:val="no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8</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根据投标方拟定的培训计划进行比对打分，拟定的培训计划需包含培训内容、培训时间、培训人数、培训地点，培训安排达到2天10人次培训，得1分，培训安排达到5天10人次及以上的，得2分，本项最高2分。</w:t>
            </w:r>
          </w:p>
        </w:tc>
        <w:tc>
          <w:tcPr>
            <w:tcW w:w="93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2</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rPr>
              <w:t>培训</w:t>
            </w:r>
            <w:r>
              <w:rPr>
                <w:rFonts w:hint="eastAsia" w:ascii="仿宋" w:hAnsi="仿宋" w:eastAsia="仿宋" w:cs="仿宋"/>
                <w:bCs/>
                <w:color w:val="auto"/>
                <w:kern w:val="0"/>
                <w:sz w:val="24"/>
                <w:szCs w:val="24"/>
                <w:highlight w:val="no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9</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合理化建议：针对本项目的重点、难点，提出合理化建议，且所提建议确实能对项目的实施产生有益作用的，根据建议内容打分。</w:t>
            </w:r>
          </w:p>
        </w:tc>
        <w:tc>
          <w:tcPr>
            <w:tcW w:w="93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2</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default"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10</w:t>
            </w:r>
          </w:p>
        </w:tc>
        <w:tc>
          <w:tcPr>
            <w:tcW w:w="6183" w:type="dxa"/>
            <w:vAlign w:val="center"/>
          </w:tcPr>
          <w:p>
            <w:pPr>
              <w:keepNext w:val="0"/>
              <w:keepLines w:val="0"/>
              <w:pageBreakBefore w:val="0"/>
              <w:kinsoku/>
              <w:wordWrap/>
              <w:overflowPunct/>
              <w:topLinePunct w:val="0"/>
              <w:autoSpaceDE/>
              <w:autoSpaceDN/>
              <w:bidi w:val="0"/>
              <w:adjustRightInd w:val="0"/>
              <w:spacing w:line="360" w:lineRule="auto"/>
              <w:textAlignment w:val="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有效投标报价的最低价作为评标基准价，其最低报价为满分；其他投标人的价格分统一按照下列公式计算［投标报价得分=（评标基准价/投标报价）*10］的计算公式计算。</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20"/>
              <w:jc w:val="lef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评标过程中，不得去掉报价中的最高报价和最低报价。</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sz w:val="24"/>
                <w:szCs w:val="24"/>
                <w:highlight w:val="none"/>
              </w:rPr>
              <w:t>因落实政府采购政策需要进行价格调整的，以调整后的价格计算评标基准价和投标报价。</w:t>
            </w:r>
          </w:p>
        </w:tc>
        <w:tc>
          <w:tcPr>
            <w:tcW w:w="93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1905" w:type="dxa"/>
            <w:vAlign w:val="center"/>
          </w:tcPr>
          <w:p>
            <w:pPr>
              <w:keepNext w:val="0"/>
              <w:keepLines w:val="0"/>
              <w:pageBreakBefore w:val="0"/>
              <w:kinsoku/>
              <w:wordWrap/>
              <w:overflowPunct/>
              <w:topLinePunct w:val="0"/>
              <w:autoSpaceDE/>
              <w:autoSpaceDN/>
              <w:bidi w:val="0"/>
              <w:adjustRightInd w:val="0"/>
              <w:spacing w:line="360" w:lineRule="auto"/>
              <w:jc w:val="center"/>
              <w:textAlignment w:val="auto"/>
              <w:rPr>
                <w:rFonts w:hint="eastAsia" w:ascii="仿宋" w:hAnsi="仿宋" w:eastAsia="仿宋" w:cs="仿宋"/>
                <w:bCs/>
                <w:color w:val="auto"/>
                <w:kern w:val="0"/>
                <w:sz w:val="24"/>
                <w:szCs w:val="24"/>
                <w:highlight w:val="none"/>
                <w:lang w:eastAsia="zh-CN"/>
              </w:rPr>
            </w:pPr>
            <w:r>
              <w:rPr>
                <w:rFonts w:hint="eastAsia" w:ascii="仿宋" w:hAnsi="仿宋" w:eastAsia="仿宋" w:cs="仿宋"/>
                <w:bCs/>
                <w:color w:val="auto"/>
                <w:kern w:val="0"/>
                <w:sz w:val="24"/>
                <w:szCs w:val="24"/>
                <w:highlight w:val="none"/>
                <w:lang w:val="en-US" w:eastAsia="zh-CN"/>
              </w:rPr>
              <w:t>价格</w:t>
            </w:r>
          </w:p>
        </w:tc>
      </w:tr>
    </w:tbl>
    <w:p>
      <w:pP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br w:type="page"/>
      </w:r>
    </w:p>
    <w:p>
      <w:pPr>
        <w:spacing w:line="360" w:lineRule="auto"/>
        <w:rPr>
          <w:rFonts w:ascii="仿宋" w:hAnsi="仿宋" w:eastAsia="仿宋"/>
          <w:b/>
          <w:color w:val="auto"/>
          <w:sz w:val="28"/>
          <w:szCs w:val="28"/>
          <w:highlight w:val="none"/>
        </w:rPr>
      </w:pPr>
      <w:r>
        <w:rPr>
          <w:rFonts w:hint="eastAsia" w:ascii="仿宋" w:hAnsi="仿宋" w:eastAsia="仿宋" w:cs="仿宋_GB2312"/>
          <w:b/>
          <w:color w:val="auto"/>
          <w:sz w:val="32"/>
          <w:highlight w:val="none"/>
        </w:rPr>
        <w:t>一、评标方法</w:t>
      </w:r>
    </w:p>
    <w:p>
      <w:pPr>
        <w:adjustRightInd/>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1.</w:t>
      </w:r>
      <w:r>
        <w:rPr>
          <w:rFonts w:hint="eastAsia" w:ascii="仿宋" w:hAnsi="仿宋" w:eastAsia="仿宋" w:cs="Arial"/>
          <w:b/>
          <w:color w:val="auto"/>
          <w:kern w:val="0"/>
          <w:sz w:val="24"/>
          <w:highlight w:val="none"/>
        </w:rPr>
        <w:t>本项目采用综合评分法。</w:t>
      </w:r>
      <w:r>
        <w:rPr>
          <w:rFonts w:hint="eastAsia" w:ascii="仿宋" w:hAnsi="仿宋" w:eastAsia="仿宋"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Arial"/>
          <w:color w:val="auto"/>
          <w:kern w:val="0"/>
          <w:sz w:val="24"/>
          <w:highlight w:val="none"/>
        </w:rPr>
      </w:pPr>
      <w:r>
        <w:rPr>
          <w:rFonts w:hint="eastAsia" w:ascii="仿宋" w:hAnsi="仿宋" w:eastAsia="仿宋" w:cs="仿宋_GB2312"/>
          <w:b/>
          <w:color w:val="auto"/>
          <w:sz w:val="32"/>
          <w:highlight w:val="none"/>
        </w:rPr>
        <w:t>二、评标标准</w:t>
      </w:r>
    </w:p>
    <w:p>
      <w:pPr>
        <w:spacing w:line="360" w:lineRule="auto"/>
        <w:ind w:firstLine="472" w:firstLineChars="196"/>
        <w:rPr>
          <w:rFonts w:ascii="仿宋" w:hAnsi="仿宋" w:eastAsia="仿宋" w:cs="仿宋_GB2312"/>
          <w:b/>
          <w:color w:val="auto"/>
          <w:sz w:val="24"/>
          <w:highlight w:val="none"/>
        </w:rPr>
      </w:pPr>
      <w:r>
        <w:rPr>
          <w:rFonts w:ascii="仿宋" w:hAnsi="仿宋" w:eastAsia="仿宋" w:cs="仿宋_GB2312"/>
          <w:b/>
          <w:color w:val="auto"/>
          <w:sz w:val="24"/>
          <w:highlight w:val="none"/>
        </w:rPr>
        <w:t>2.</w:t>
      </w:r>
      <w:r>
        <w:rPr>
          <w:rFonts w:hint="eastAsia" w:ascii="仿宋" w:hAnsi="仿宋" w:eastAsia="仿宋" w:cs="仿宋_GB2312"/>
          <w:b/>
          <w:color w:val="auto"/>
          <w:sz w:val="24"/>
          <w:highlight w:val="none"/>
        </w:rPr>
        <w:t>评标标准：</w:t>
      </w:r>
      <w:r>
        <w:rPr>
          <w:rFonts w:hint="eastAsia" w:ascii="仿宋" w:hAnsi="仿宋" w:eastAsia="仿宋" w:cs="Arial"/>
          <w:color w:val="auto"/>
          <w:kern w:val="0"/>
          <w:sz w:val="24"/>
          <w:highlight w:val="none"/>
        </w:rPr>
        <w:t>见评标办法前附表。</w:t>
      </w:r>
    </w:p>
    <w:p>
      <w:pPr>
        <w:spacing w:line="360" w:lineRule="auto"/>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三、评标程序</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3.1符合性审查。</w:t>
      </w:r>
      <w:r>
        <w:rPr>
          <w:rFonts w:ascii="仿宋" w:hAnsi="仿宋" w:eastAsia="仿宋" w:cs="Arial"/>
          <w:color w:val="auto"/>
          <w:kern w:val="0"/>
          <w:sz w:val="24"/>
          <w:highlight w:val="none"/>
        </w:rPr>
        <w:t>评标委员会应当对符合资格的投标人的投标文件进行符合性审查，以确定其是否满足招标文件的实质性要求。</w:t>
      </w:r>
      <w:r>
        <w:rPr>
          <w:rFonts w:hint="eastAsia" w:ascii="仿宋" w:hAnsi="仿宋" w:eastAsia="仿宋" w:cs="Arial"/>
          <w:color w:val="auto"/>
          <w:kern w:val="0"/>
          <w:sz w:val="24"/>
          <w:highlight w:val="none"/>
        </w:rPr>
        <w:t>不</w:t>
      </w:r>
      <w:r>
        <w:rPr>
          <w:rFonts w:ascii="仿宋" w:hAnsi="仿宋" w:eastAsia="仿宋" w:cs="Arial"/>
          <w:color w:val="auto"/>
          <w:kern w:val="0"/>
          <w:sz w:val="24"/>
          <w:highlight w:val="none"/>
        </w:rPr>
        <w:t>满足招标文件的实质性要求</w:t>
      </w:r>
      <w:r>
        <w:rPr>
          <w:rFonts w:hint="eastAsia" w:ascii="仿宋" w:hAnsi="仿宋" w:eastAsia="仿宋" w:cs="Arial"/>
          <w:color w:val="auto"/>
          <w:kern w:val="0"/>
          <w:sz w:val="24"/>
          <w:highlight w:val="none"/>
        </w:rPr>
        <w:t>的，投标无效。</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 xml:space="preserve">3.2 </w:t>
      </w:r>
      <w:r>
        <w:rPr>
          <w:rFonts w:hint="eastAsia" w:ascii="仿宋" w:hAnsi="仿宋" w:eastAsia="仿宋" w:cs="Arial"/>
          <w:b/>
          <w:color w:val="auto"/>
          <w:kern w:val="0"/>
          <w:sz w:val="24"/>
          <w:highlight w:val="none"/>
        </w:rPr>
        <w:t>比较与评价。</w:t>
      </w:r>
      <w:r>
        <w:rPr>
          <w:rFonts w:ascii="仿宋" w:hAnsi="仿宋" w:eastAsia="仿宋"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3.3汇总商务技术得分。</w:t>
      </w:r>
      <w:r>
        <w:rPr>
          <w:rFonts w:hint="eastAsia" w:ascii="仿宋" w:hAnsi="仿宋" w:eastAsia="仿宋"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3.4报价评审。</w:t>
      </w:r>
    </w:p>
    <w:p>
      <w:pPr>
        <w:pStyle w:val="130"/>
        <w:spacing w:before="0"/>
        <w:ind w:firstLine="508" w:firstLineChars="212"/>
        <w:rPr>
          <w:rFonts w:ascii="仿宋" w:hAnsi="仿宋" w:eastAsia="仿宋" w:cs="Arial"/>
          <w:color w:val="auto"/>
          <w:kern w:val="0"/>
          <w:highlight w:val="none"/>
        </w:rPr>
      </w:pPr>
      <w:r>
        <w:rPr>
          <w:rFonts w:ascii="仿宋" w:hAnsi="仿宋" w:eastAsia="仿宋" w:cs="Arial"/>
          <w:color w:val="auto"/>
          <w:kern w:val="0"/>
          <w:highlight w:val="none"/>
        </w:rPr>
        <w:t>3.4.1投标文件报价出现前后不一致的，按照下列规定修正：</w:t>
      </w:r>
    </w:p>
    <w:p>
      <w:pPr>
        <w:pStyle w:val="13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3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3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3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3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3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u w:val="single"/>
        </w:rPr>
        <w:t>2</w:t>
      </w:r>
      <w:r>
        <w:rPr>
          <w:rFonts w:ascii="仿宋" w:hAnsi="仿宋" w:eastAsia="仿宋" w:cs="仿宋"/>
          <w:color w:val="auto"/>
          <w:kern w:val="0"/>
          <w:szCs w:val="24"/>
          <w:highlight w:val="none"/>
          <w:u w:val="single"/>
        </w:rPr>
        <w:t>0</w:t>
      </w:r>
      <w:r>
        <w:rPr>
          <w:rFonts w:ascii="仿宋" w:hAnsi="仿宋" w:eastAsia="仿宋" w:cs="仿宋"/>
          <w:color w:val="auto"/>
          <w:kern w:val="0"/>
          <w:szCs w:val="24"/>
          <w:highlight w:val="none"/>
        </w:rPr>
        <w:t>%的扣除，用扣除后的价格参与评审。接受大中型企业与小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u w:val="single"/>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 w:hAnsi="仿宋" w:eastAsia="仿宋" w:cs="Arial"/>
          <w:color w:val="auto"/>
          <w:kern w:val="0"/>
          <w:sz w:val="24"/>
          <w:highlight w:val="none"/>
        </w:rPr>
      </w:pPr>
      <w:r>
        <w:rPr>
          <w:rFonts w:ascii="仿宋" w:hAnsi="仿宋" w:eastAsia="仿宋" w:cs="Arial"/>
          <w:b/>
          <w:color w:val="auto"/>
          <w:kern w:val="0"/>
          <w:sz w:val="24"/>
          <w:highlight w:val="none"/>
        </w:rPr>
        <w:t>3.5</w:t>
      </w:r>
      <w:r>
        <w:rPr>
          <w:rFonts w:hint="eastAsia" w:ascii="仿宋" w:hAnsi="仿宋" w:eastAsia="仿宋" w:cs="Arial"/>
          <w:b/>
          <w:color w:val="auto"/>
          <w:kern w:val="0"/>
          <w:sz w:val="24"/>
          <w:highlight w:val="none"/>
        </w:rPr>
        <w:t>排序与推荐。</w:t>
      </w:r>
      <w:r>
        <w:rPr>
          <w:rFonts w:ascii="仿宋" w:hAnsi="仿宋" w:eastAsia="仿宋"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Arial"/>
          <w:color w:val="auto"/>
          <w:kern w:val="0"/>
          <w:sz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 w:hAnsi="仿宋" w:eastAsia="仿宋" w:cs="Arial"/>
          <w:b/>
          <w:color w:val="auto"/>
          <w:kern w:val="0"/>
          <w:sz w:val="24"/>
          <w:highlight w:val="none"/>
        </w:rPr>
      </w:pPr>
      <w:r>
        <w:rPr>
          <w:rFonts w:hint="eastAsia" w:ascii="仿宋" w:hAnsi="仿宋" w:eastAsia="仿宋"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3.6编写评标报告。</w:t>
      </w:r>
      <w:r>
        <w:rPr>
          <w:rFonts w:ascii="仿宋" w:hAnsi="仿宋" w:eastAsia="仿宋" w:cs="Arial"/>
          <w:color w:val="auto"/>
          <w:kern w:val="0"/>
          <w:sz w:val="24"/>
          <w:highlight w:val="none"/>
        </w:rPr>
        <w:t>评标委员会根据全体评标成员签字的原始评标记录和评标结果编写评标报告。</w:t>
      </w:r>
      <w:r>
        <w:rPr>
          <w:rFonts w:hint="eastAsia" w:ascii="仿宋" w:hAnsi="仿宋" w:eastAsia="仿宋"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四、评标中的其他事项</w:t>
      </w:r>
    </w:p>
    <w:p>
      <w:pPr>
        <w:pStyle w:val="130"/>
        <w:spacing w:before="0"/>
        <w:ind w:firstLine="472" w:firstLineChars="196"/>
        <w:rPr>
          <w:rFonts w:ascii="仿宋" w:hAnsi="仿宋" w:eastAsia="仿宋" w:cs="Arial"/>
          <w:color w:val="auto"/>
          <w:kern w:val="0"/>
          <w:szCs w:val="24"/>
          <w:highlight w:val="none"/>
        </w:rPr>
      </w:pPr>
      <w:r>
        <w:rPr>
          <w:rFonts w:ascii="仿宋" w:hAnsi="仿宋" w:eastAsia="仿宋" w:cs="Arial"/>
          <w:b/>
          <w:color w:val="auto"/>
          <w:kern w:val="0"/>
          <w:szCs w:val="24"/>
          <w:highlight w:val="none"/>
        </w:rPr>
        <w:t>4.1</w:t>
      </w:r>
      <w:r>
        <w:rPr>
          <w:rFonts w:hint="eastAsia" w:ascii="仿宋" w:hAnsi="仿宋" w:eastAsia="仿宋" w:cs="Arial"/>
          <w:b/>
          <w:color w:val="auto"/>
          <w:kern w:val="0"/>
          <w:szCs w:val="24"/>
          <w:highlight w:val="none"/>
        </w:rPr>
        <w:t>投标人澄清、说明或者补正。</w:t>
      </w:r>
      <w:r>
        <w:rPr>
          <w:rFonts w:hint="eastAsia" w:ascii="仿宋" w:hAnsi="仿宋" w:eastAsia="仿宋"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ascii="仿宋" w:hAnsi="仿宋" w:eastAsia="仿宋" w:cs="仿宋_GB2312"/>
          <w:color w:val="auto"/>
          <w:szCs w:val="21"/>
          <w:highlight w:val="none"/>
        </w:rPr>
      </w:pPr>
      <w:r>
        <w:rPr>
          <w:rFonts w:ascii="仿宋" w:hAnsi="仿宋" w:eastAsia="仿宋" w:cs="Arial"/>
          <w:b/>
          <w:color w:val="auto"/>
          <w:kern w:val="0"/>
          <w:highlight w:val="none"/>
        </w:rPr>
        <w:t>4.2投标无效。</w:t>
      </w:r>
      <w:r>
        <w:rPr>
          <w:rFonts w:hint="eastAsia" w:ascii="仿宋" w:hAnsi="仿宋" w:eastAsia="仿宋" w:cs="仿宋_GB2312"/>
          <w:color w:val="auto"/>
          <w:szCs w:val="21"/>
          <w:highlight w:val="none"/>
        </w:rPr>
        <w:t>有下列情况之一的，投标无效：</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4.2.2投标文件未按照招标文件要求签署、盖章的；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 w:hAnsi="仿宋" w:eastAsia="仿宋" w:cs="Arial"/>
          <w:color w:val="auto"/>
          <w:kern w:val="0"/>
          <w:sz w:val="24"/>
          <w:highlight w:val="none"/>
        </w:rPr>
        <w:t>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4.2.4投标文件含有采购人不能接受的附加条件的；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4.2.5投标文件中承诺的投标有效期少于招标文件中载明的投标有效期的；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4.2.6投标文件出现不是唯一的、有选择性投标报价的;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4.2.9投标人对根据修正原则修正后的报价不确认的；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4.2.10投标人提供虚假材料投标的；</w:t>
      </w:r>
    </w:p>
    <w:p>
      <w:pPr>
        <w:spacing w:line="360" w:lineRule="auto"/>
        <w:ind w:firstLine="240" w:firstLineChars="100"/>
        <w:rPr>
          <w:rFonts w:ascii="仿宋" w:hAnsi="仿宋" w:eastAsia="仿宋" w:cs="Arial"/>
          <w:color w:val="auto"/>
          <w:kern w:val="0"/>
          <w:sz w:val="24"/>
          <w:highlight w:val="none"/>
        </w:rPr>
      </w:pPr>
      <w:r>
        <w:rPr>
          <w:rFonts w:ascii="仿宋" w:hAnsi="仿宋" w:eastAsia="仿宋"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4.2.12投标人仅提交备份投标文件，没有在电子交易平台传输递交投标文件的，投标无效；</w:t>
      </w:r>
    </w:p>
    <w:p>
      <w:pPr>
        <w:pStyle w:val="3"/>
        <w:ind w:left="862" w:leftChars="205"/>
        <w:rPr>
          <w:rFonts w:ascii="仿宋" w:eastAsia="仿宋" w:cs="Arial"/>
          <w:b w:val="0"/>
          <w:bCs w:val="0"/>
          <w:color w:val="auto"/>
          <w:kern w:val="0"/>
          <w:sz w:val="24"/>
          <w:szCs w:val="24"/>
          <w:highlight w:val="none"/>
          <w:lang w:val="en-US"/>
        </w:rPr>
      </w:pPr>
      <w:r>
        <w:rPr>
          <w:rFonts w:ascii="仿宋" w:eastAsia="仿宋" w:cs="Arial"/>
          <w:b w:val="0"/>
          <w:bCs w:val="0"/>
          <w:color w:val="auto"/>
          <w:kern w:val="0"/>
          <w:sz w:val="24"/>
          <w:szCs w:val="24"/>
          <w:highlight w:val="none"/>
          <w:lang w:val="en-US"/>
        </w:rPr>
        <w:t xml:space="preserve">4.2.13 </w:t>
      </w:r>
      <w:r>
        <w:rPr>
          <w:rFonts w:hint="eastAsia" w:ascii="仿宋" w:eastAsia="仿宋"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4.2.14法律、法规、规章（适用本市的）及省级以上规范性文件（适用本市的）规定的其他无效情形。</w:t>
      </w:r>
    </w:p>
    <w:p>
      <w:pPr>
        <w:pStyle w:val="6"/>
        <w:snapToGrid w:val="0"/>
        <w:spacing w:line="360" w:lineRule="auto"/>
        <w:ind w:firstLine="472" w:firstLineChars="196"/>
        <w:rPr>
          <w:rFonts w:ascii="仿宋" w:hAnsi="仿宋" w:eastAsia="仿宋" w:cs="仿宋_GB2312"/>
          <w:color w:val="auto"/>
          <w:highlight w:val="none"/>
        </w:rPr>
      </w:pPr>
      <w:r>
        <w:rPr>
          <w:rFonts w:ascii="仿宋" w:hAnsi="仿宋" w:eastAsia="仿宋" w:cs="仿宋_GB2312"/>
          <w:b/>
          <w:color w:val="auto"/>
          <w:highlight w:val="none"/>
        </w:rPr>
        <w:t>5.废标。</w:t>
      </w:r>
      <w:r>
        <w:rPr>
          <w:rFonts w:hint="eastAsia" w:ascii="仿宋" w:hAnsi="仿宋" w:eastAsia="仿宋" w:cs="仿宋_GB2312"/>
          <w:color w:val="auto"/>
          <w:highlight w:val="none"/>
        </w:rPr>
        <w:t>根据《中华人民共和国政府采购法》第三十六条之规定，在采购中，出现下列情形之一的，应予废标：</w:t>
      </w:r>
    </w:p>
    <w:p>
      <w:pPr>
        <w:pStyle w:val="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5.1符合专业条件的供应商或者对招标文件作实质响应的供应商不足3家的；</w:t>
      </w:r>
    </w:p>
    <w:p>
      <w:pPr>
        <w:pStyle w:val="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5.2出现影响采购公正的违法、违规行为的；</w:t>
      </w:r>
    </w:p>
    <w:p>
      <w:pPr>
        <w:pStyle w:val="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5.3投标人的报价均超过了采购预算，采购人不能支付的；</w:t>
      </w:r>
    </w:p>
    <w:p>
      <w:pPr>
        <w:pStyle w:val="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5.4因重大变故，采购任务取消的。</w:t>
      </w:r>
    </w:p>
    <w:p>
      <w:pPr>
        <w:pStyle w:val="6"/>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废标后，采购机构应当将废标理由通知所有投标人。</w:t>
      </w:r>
    </w:p>
    <w:p>
      <w:pPr>
        <w:pStyle w:val="6"/>
        <w:snapToGrid w:val="0"/>
        <w:spacing w:line="360" w:lineRule="auto"/>
        <w:ind w:firstLine="590" w:firstLineChars="245"/>
        <w:rPr>
          <w:rFonts w:ascii="仿宋" w:hAnsi="仿宋" w:eastAsia="仿宋" w:cs="仿宋_GB2312"/>
          <w:color w:val="auto"/>
          <w:highlight w:val="none"/>
        </w:rPr>
      </w:pPr>
      <w:r>
        <w:rPr>
          <w:rFonts w:ascii="仿宋" w:hAnsi="仿宋" w:eastAsia="仿宋" w:cs="仿宋_GB2312"/>
          <w:b/>
          <w:color w:val="auto"/>
          <w:highlight w:val="none"/>
        </w:rPr>
        <w:t>6.修改招标文件，重新组织采购活动。</w:t>
      </w:r>
      <w:r>
        <w:rPr>
          <w:rFonts w:hint="eastAsia" w:ascii="仿宋" w:hAnsi="仿宋" w:eastAsia="仿宋"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6"/>
        <w:snapToGrid w:val="0"/>
        <w:spacing w:line="360" w:lineRule="auto"/>
        <w:ind w:firstLine="590" w:firstLineChars="245"/>
        <w:rPr>
          <w:rFonts w:ascii="仿宋" w:hAnsi="仿宋" w:eastAsia="仿宋" w:cs="仿宋_GB2312"/>
          <w:color w:val="auto"/>
          <w:highlight w:val="none"/>
        </w:rPr>
      </w:pPr>
      <w:r>
        <w:rPr>
          <w:rFonts w:hint="eastAsia" w:ascii="仿宋" w:hAnsi="仿宋" w:eastAsia="仿宋" w:cs="Helvetica"/>
          <w:b/>
          <w:color w:val="auto"/>
          <w:kern w:val="0"/>
          <w:highlight w:val="none"/>
        </w:rPr>
        <w:t>7.重新开展采购。</w:t>
      </w:r>
      <w:r>
        <w:rPr>
          <w:rFonts w:hint="eastAsia" w:ascii="仿宋" w:hAnsi="仿宋" w:eastAsia="仿宋" w:cs="仿宋_GB2312"/>
          <w:color w:val="auto"/>
          <w:highlight w:val="none"/>
        </w:rPr>
        <w:t>有政府采购法第七十一条、第七十二条规定的违法行为之一，影响或者可能影响中标、成交结果的，依照下列规定处理：</w:t>
      </w:r>
    </w:p>
    <w:p>
      <w:pPr>
        <w:pStyle w:val="6"/>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7.1未确定中标或者中标人的，终止本次政府采购活动，重新开展政府采购</w:t>
      </w:r>
      <w:r>
        <w:rPr>
          <w:rFonts w:hint="eastAsia" w:ascii="仿宋" w:hAnsi="仿宋" w:eastAsia="仿宋" w:cs="仿宋_GB2312"/>
          <w:color w:val="auto"/>
          <w:highlight w:val="none"/>
        </w:rPr>
        <w:t>活动。</w:t>
      </w:r>
    </w:p>
    <w:p>
      <w:pPr>
        <w:pStyle w:val="6"/>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6"/>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6"/>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7.4政府采购合同已经履行，给采购人、供应</w:t>
      </w:r>
      <w:r>
        <w:rPr>
          <w:rFonts w:hint="eastAsia" w:ascii="仿宋" w:hAnsi="仿宋" w:eastAsia="仿宋" w:cs="仿宋_GB2312"/>
          <w:color w:val="auto"/>
          <w:highlight w:val="none"/>
        </w:rPr>
        <w:t>商造成损失的，由责任人承担赔偿责任。</w:t>
      </w:r>
    </w:p>
    <w:p>
      <w:pPr>
        <w:pStyle w:val="6"/>
        <w:snapToGrid w:val="0"/>
        <w:spacing w:line="360" w:lineRule="auto"/>
        <w:rPr>
          <w:rFonts w:ascii="仿宋_GB2312" w:hAnsi="仿宋" w:eastAsia="仿宋_GB2312" w:cs="仿宋_GB2312"/>
          <w:b/>
          <w:color w:val="auto"/>
          <w:sz w:val="36"/>
          <w:szCs w:val="36"/>
          <w:highlight w:val="none"/>
        </w:rPr>
      </w:pPr>
      <w:r>
        <w:rPr>
          <w:rFonts w:ascii="仿宋" w:hAnsi="仿宋" w:eastAsia="仿宋" w:cs="仿宋_GB2312"/>
          <w:color w:val="auto"/>
          <w:highlight w:val="none"/>
        </w:rPr>
        <w:t>7.5政府采购当事人有其他违反政府采购</w:t>
      </w:r>
      <w:r>
        <w:rPr>
          <w:rFonts w:hint="eastAsia" w:ascii="仿宋" w:hAnsi="仿宋" w:eastAsia="仿宋" w:cs="仿宋_GB2312"/>
          <w:color w:val="auto"/>
          <w:highlight w:val="none"/>
        </w:rPr>
        <w:t>法</w:t>
      </w:r>
      <w:r>
        <w:rPr>
          <w:rFonts w:hint="eastAsia" w:ascii="仿宋" w:hAnsi="仿宋" w:eastAsia="仿宋" w:cs="Arial"/>
          <w:color w:val="auto"/>
          <w:kern w:val="0"/>
          <w:highlight w:val="none"/>
        </w:rPr>
        <w:t>或者政府采购法实施条例等法律法规规定</w:t>
      </w:r>
      <w:r>
        <w:rPr>
          <w:rFonts w:hint="eastAsia" w:ascii="仿宋" w:hAnsi="仿宋" w:eastAsia="仿宋" w:cs="仿宋_GB2312"/>
          <w:color w:val="auto"/>
          <w:highlight w:val="none"/>
        </w:rPr>
        <w:t>的行为，经改正后仍然影响或者可能影响中标、成交结果或者依法被认定为中标、成交无效的，依照</w:t>
      </w:r>
      <w:r>
        <w:rPr>
          <w:rFonts w:ascii="仿宋" w:hAnsi="仿宋" w:eastAsia="仿宋" w:cs="仿宋_GB2312"/>
          <w:color w:val="auto"/>
          <w:highlight w:val="none"/>
        </w:rPr>
        <w:t>7.1-7.4规定处理。</w:t>
      </w:r>
      <w:bookmarkEnd w:id="26"/>
      <w:bookmarkStart w:id="394" w:name="第五部分"/>
      <w:bookmarkStart w:id="395" w:name="_Toc86217003"/>
      <w:r>
        <w:rPr>
          <w:rFonts w:ascii="仿宋_GB2312" w:hAnsi="仿宋" w:eastAsia="仿宋_GB2312" w:cs="仿宋_GB2312"/>
          <w:b/>
          <w:color w:val="auto"/>
          <w:sz w:val="36"/>
          <w:szCs w:val="36"/>
          <w:highlight w:val="none"/>
        </w:rPr>
        <w:br w:type="page"/>
      </w: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p>
    <w:p>
      <w:pPr>
        <w:pStyle w:val="5"/>
        <w:ind w:left="0" w:leftChars="0" w:firstLine="0" w:firstLineChars="0"/>
        <w:rPr>
          <w:rFonts w:ascii="仿宋" w:hAnsi="仿宋" w:eastAsia="仿宋"/>
          <w:color w:val="auto"/>
          <w:szCs w:val="24"/>
          <w:highlight w:val="none"/>
        </w:rPr>
      </w:pPr>
    </w:p>
    <w:p>
      <w:pPr>
        <w:pStyle w:val="5"/>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pStyle w:val="5"/>
        <w:rPr>
          <w:rFonts w:ascii="仿宋" w:hAnsi="仿宋" w:eastAsia="仿宋"/>
          <w:color w:val="auto"/>
          <w:szCs w:val="24"/>
          <w:highlight w:val="none"/>
        </w:rPr>
      </w:pPr>
    </w:p>
    <w:p>
      <w:pPr>
        <w:pStyle w:val="5"/>
        <w:rPr>
          <w:rFonts w:ascii="仿宋" w:hAnsi="仿宋" w:eastAsia="仿宋"/>
          <w:color w:val="auto"/>
          <w:szCs w:val="24"/>
          <w:highlight w:val="none"/>
        </w:rPr>
      </w:pPr>
    </w:p>
    <w:p>
      <w:pPr>
        <w:pStyle w:val="5"/>
        <w:jc w:val="center"/>
        <w:rPr>
          <w:rFonts w:ascii="仿宋" w:hAnsi="仿宋" w:eastAsia="仿宋"/>
          <w:color w:val="auto"/>
          <w:szCs w:val="24"/>
          <w:highlight w:val="none"/>
        </w:rPr>
      </w:pPr>
    </w:p>
    <w:p>
      <w:pPr>
        <w:pStyle w:val="5"/>
        <w:rPr>
          <w:rFonts w:ascii="仿宋" w:hAnsi="仿宋" w:eastAsia="仿宋"/>
          <w:color w:val="auto"/>
          <w:szCs w:val="24"/>
          <w:highlight w:val="none"/>
        </w:rPr>
      </w:pPr>
    </w:p>
    <w:p>
      <w:pPr>
        <w:pStyle w:val="5"/>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p>
    <w:p>
      <w:pPr>
        <w:pStyle w:val="598"/>
        <w:spacing w:before="120" w:line="22" w:lineRule="atLeast"/>
        <w:rPr>
          <w:rFonts w:ascii="仿宋" w:hAnsi="仿宋" w:eastAsia="仿宋"/>
          <w:color w:val="auto"/>
          <w:szCs w:val="24"/>
          <w:highlight w:val="none"/>
        </w:rPr>
      </w:pPr>
    </w:p>
    <w:p>
      <w:pPr>
        <w:pStyle w:val="598"/>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p>
    <w:p>
      <w:pPr>
        <w:spacing w:before="120" w:line="22" w:lineRule="atLeast"/>
        <w:rPr>
          <w:rFonts w:ascii="仿宋" w:hAnsi="仿宋" w:eastAsia="仿宋"/>
          <w:color w:val="auto"/>
          <w:sz w:val="24"/>
          <w:highlight w:val="none"/>
        </w:rPr>
      </w:pPr>
    </w:p>
    <w:p>
      <w:pPr>
        <w:widowControl/>
        <w:adjustRightInd/>
        <w:spacing w:line="360" w:lineRule="auto"/>
        <w:ind w:firstLine="960" w:firstLineChars="400"/>
        <w:contextualSpacing/>
        <w:jc w:val="left"/>
        <w:rPr>
          <w:rFonts w:ascii="仿宋" w:hAnsi="仿宋" w:eastAsia="仿宋"/>
          <w:color w:val="auto"/>
          <w:sz w:val="24"/>
          <w:highlight w:val="none"/>
        </w:rPr>
      </w:pPr>
      <w:r>
        <w:rPr>
          <w:rFonts w:hint="eastAsia" w:ascii="仿宋" w:hAnsi="仿宋" w:eastAsia="仿宋"/>
          <w:color w:val="auto"/>
          <w:sz w:val="24"/>
          <w:highlight w:val="none"/>
        </w:rPr>
        <w:t>签订日期：  年  月  日</w:t>
      </w:r>
    </w:p>
    <w:bookmarkEnd w:id="394"/>
    <w:bookmarkEnd w:id="395"/>
    <w:p>
      <w:pP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br w:type="page"/>
      </w:r>
    </w:p>
    <w:p>
      <w:pPr>
        <w:jc w:val="both"/>
        <w:rPr>
          <w:rFonts w:hint="default" w:asciiTheme="minorEastAsia" w:hAnsiTheme="minorEastAsia" w:eastAsiaTheme="minorEastAsia"/>
          <w:b/>
          <w:color w:val="auto"/>
          <w:highlight w:val="none"/>
          <w:lang w:val="en-US" w:eastAsia="zh-CN"/>
        </w:rPr>
      </w:pPr>
      <w:r>
        <w:rPr>
          <w:rFonts w:hint="eastAsia" w:ascii="仿宋" w:hAnsi="仿宋" w:eastAsia="仿宋" w:cs="仿宋"/>
          <w:b/>
          <w:color w:val="auto"/>
          <w:sz w:val="24"/>
          <w:szCs w:val="24"/>
          <w:highlight w:val="none"/>
          <w:lang w:val="en-US" w:eastAsia="zh-CN"/>
        </w:rPr>
        <w:t>标项一：温室气体手工监测及移动监测服务项目项目</w:t>
      </w:r>
    </w:p>
    <w:p>
      <w:pPr>
        <w:jc w:val="center"/>
        <w:rPr>
          <w:rFonts w:hint="eastAsia" w:asciiTheme="minorEastAsia" w:hAnsiTheme="minorEastAsia" w:eastAsiaTheme="minorEastAsia"/>
          <w:b/>
          <w:color w:val="auto"/>
          <w:highlight w:val="none"/>
        </w:rPr>
      </w:pPr>
    </w:p>
    <w:p>
      <w:pPr>
        <w:adjustRightInd w:val="0"/>
        <w:snapToGrid w:val="0"/>
        <w:spacing w:line="360" w:lineRule="auto"/>
        <w:ind w:firstLine="456"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甲、乙双方根据杭州意信招标代理有限公司关于</w:t>
      </w:r>
      <w:r>
        <w:rPr>
          <w:rFonts w:hint="eastAsia" w:ascii="仿宋" w:hAnsi="仿宋" w:eastAsia="仿宋" w:cs="仿宋"/>
          <w:color w:val="auto"/>
          <w:spacing w:val="-6"/>
          <w:sz w:val="24"/>
          <w:szCs w:val="24"/>
          <w:highlight w:val="none"/>
          <w:u w:val="single"/>
        </w:rPr>
        <w:t xml:space="preserve">                        服务</w:t>
      </w:r>
      <w:r>
        <w:rPr>
          <w:rFonts w:hint="eastAsia" w:ascii="仿宋" w:hAnsi="仿宋" w:eastAsia="仿宋" w:cs="仿宋"/>
          <w:color w:val="auto"/>
          <w:spacing w:val="-6"/>
          <w:sz w:val="24"/>
          <w:szCs w:val="24"/>
          <w:highlight w:val="none"/>
        </w:rPr>
        <w:t>项目</w:t>
      </w:r>
      <w:r>
        <w:rPr>
          <w:rFonts w:hint="eastAsia" w:ascii="仿宋" w:hAnsi="仿宋" w:eastAsia="仿宋" w:cs="仿宋"/>
          <w:color w:val="auto"/>
          <w:spacing w:val="-6"/>
          <w:sz w:val="24"/>
          <w:szCs w:val="24"/>
          <w:highlight w:val="none"/>
          <w:u w:val="single"/>
        </w:rPr>
        <w:t>公开招标</w:t>
      </w:r>
      <w:r>
        <w:rPr>
          <w:rFonts w:hint="eastAsia" w:ascii="仿宋" w:hAnsi="仿宋" w:eastAsia="仿宋" w:cs="仿宋"/>
          <w:color w:val="auto"/>
          <w:spacing w:val="-6"/>
          <w:sz w:val="24"/>
          <w:szCs w:val="24"/>
          <w:highlight w:val="none"/>
        </w:rPr>
        <w:t>的结果，签署本合同。</w:t>
      </w:r>
    </w:p>
    <w:p>
      <w:pPr>
        <w:adjustRightInd w:val="0"/>
        <w:spacing w:line="360" w:lineRule="auto"/>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第一条：服务内容及合同价格</w:t>
      </w:r>
    </w:p>
    <w:tbl>
      <w:tblPr>
        <w:tblStyle w:val="64"/>
        <w:tblW w:w="93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41"/>
        <w:gridCol w:w="708"/>
        <w:gridCol w:w="709"/>
        <w:gridCol w:w="1794"/>
        <w:gridCol w:w="1466"/>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vAlign w:val="center"/>
          </w:tcPr>
          <w:p>
            <w:pPr>
              <w:adjustRightInd w:val="0"/>
              <w:spacing w:line="360" w:lineRule="auto"/>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序号</w:t>
            </w:r>
          </w:p>
        </w:tc>
        <w:tc>
          <w:tcPr>
            <w:tcW w:w="2541" w:type="dxa"/>
            <w:vAlign w:val="center"/>
          </w:tcPr>
          <w:p>
            <w:pPr>
              <w:adjustRightInd w:val="0"/>
              <w:spacing w:line="360" w:lineRule="auto"/>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服务内容</w:t>
            </w:r>
          </w:p>
        </w:tc>
        <w:tc>
          <w:tcPr>
            <w:tcW w:w="708" w:type="dxa"/>
            <w:vAlign w:val="center"/>
          </w:tcPr>
          <w:p>
            <w:pPr>
              <w:adjustRightInd w:val="0"/>
              <w:spacing w:line="360" w:lineRule="auto"/>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数量</w:t>
            </w:r>
          </w:p>
        </w:tc>
        <w:tc>
          <w:tcPr>
            <w:tcW w:w="709" w:type="dxa"/>
            <w:vAlign w:val="center"/>
          </w:tcPr>
          <w:p>
            <w:pPr>
              <w:adjustRightInd w:val="0"/>
              <w:spacing w:line="360" w:lineRule="auto"/>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单位</w:t>
            </w:r>
          </w:p>
        </w:tc>
        <w:tc>
          <w:tcPr>
            <w:tcW w:w="1794" w:type="dxa"/>
            <w:vAlign w:val="center"/>
          </w:tcPr>
          <w:p>
            <w:pPr>
              <w:adjustRightInd w:val="0"/>
              <w:spacing w:line="360" w:lineRule="auto"/>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描述</w:t>
            </w:r>
          </w:p>
        </w:tc>
        <w:tc>
          <w:tcPr>
            <w:tcW w:w="1466" w:type="dxa"/>
            <w:vAlign w:val="center"/>
          </w:tcPr>
          <w:p>
            <w:pPr>
              <w:adjustRightInd w:val="0"/>
              <w:spacing w:line="360" w:lineRule="auto"/>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单价</w:t>
            </w:r>
          </w:p>
          <w:p>
            <w:pPr>
              <w:adjustRightInd w:val="0"/>
              <w:spacing w:line="360" w:lineRule="auto"/>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（人民币元）</w:t>
            </w:r>
          </w:p>
        </w:tc>
        <w:tc>
          <w:tcPr>
            <w:tcW w:w="1414" w:type="dxa"/>
            <w:vAlign w:val="center"/>
          </w:tcPr>
          <w:p>
            <w:pPr>
              <w:adjustRightInd w:val="0"/>
              <w:spacing w:line="360" w:lineRule="auto"/>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合计</w:t>
            </w:r>
          </w:p>
          <w:p>
            <w:pPr>
              <w:adjustRightInd w:val="0"/>
              <w:spacing w:line="360" w:lineRule="auto"/>
              <w:jc w:val="center"/>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vAlign w:val="center"/>
          </w:tcPr>
          <w:p>
            <w:pPr>
              <w:adjustRightInd w:val="0"/>
              <w:spacing w:line="360" w:lineRule="auto"/>
              <w:jc w:val="center"/>
              <w:rPr>
                <w:rFonts w:hint="eastAsia" w:ascii="仿宋" w:hAnsi="仿宋" w:eastAsia="仿宋" w:cs="仿宋"/>
                <w:color w:val="auto"/>
                <w:spacing w:val="-6"/>
                <w:sz w:val="24"/>
                <w:szCs w:val="24"/>
                <w:highlight w:val="none"/>
              </w:rPr>
            </w:pPr>
          </w:p>
        </w:tc>
        <w:tc>
          <w:tcPr>
            <w:tcW w:w="2541" w:type="dxa"/>
            <w:vAlign w:val="center"/>
          </w:tcPr>
          <w:p>
            <w:pPr>
              <w:adjustRightInd w:val="0"/>
              <w:spacing w:line="360" w:lineRule="auto"/>
              <w:ind w:left="178" w:leftChars="85"/>
              <w:jc w:val="center"/>
              <w:rPr>
                <w:rFonts w:hint="eastAsia" w:ascii="仿宋" w:hAnsi="仿宋" w:eastAsia="仿宋" w:cs="仿宋"/>
                <w:color w:val="auto"/>
                <w:spacing w:val="-6"/>
                <w:sz w:val="24"/>
                <w:szCs w:val="24"/>
                <w:highlight w:val="none"/>
              </w:rPr>
            </w:pPr>
          </w:p>
        </w:tc>
        <w:tc>
          <w:tcPr>
            <w:tcW w:w="708" w:type="dxa"/>
            <w:vAlign w:val="center"/>
          </w:tcPr>
          <w:p>
            <w:pPr>
              <w:adjustRightInd w:val="0"/>
              <w:spacing w:line="360" w:lineRule="auto"/>
              <w:jc w:val="center"/>
              <w:rPr>
                <w:rFonts w:hint="eastAsia" w:ascii="仿宋" w:hAnsi="仿宋" w:eastAsia="仿宋" w:cs="仿宋"/>
                <w:color w:val="auto"/>
                <w:spacing w:val="-6"/>
                <w:sz w:val="24"/>
                <w:szCs w:val="24"/>
                <w:highlight w:val="none"/>
              </w:rPr>
            </w:pPr>
          </w:p>
        </w:tc>
        <w:tc>
          <w:tcPr>
            <w:tcW w:w="709" w:type="dxa"/>
            <w:vAlign w:val="center"/>
          </w:tcPr>
          <w:p>
            <w:pPr>
              <w:adjustRightInd w:val="0"/>
              <w:spacing w:line="360" w:lineRule="auto"/>
              <w:jc w:val="center"/>
              <w:rPr>
                <w:rFonts w:hint="eastAsia" w:ascii="仿宋" w:hAnsi="仿宋" w:eastAsia="仿宋" w:cs="仿宋"/>
                <w:color w:val="auto"/>
                <w:spacing w:val="-6"/>
                <w:sz w:val="24"/>
                <w:szCs w:val="24"/>
                <w:highlight w:val="none"/>
              </w:rPr>
            </w:pPr>
          </w:p>
        </w:tc>
        <w:tc>
          <w:tcPr>
            <w:tcW w:w="1794" w:type="dxa"/>
            <w:vAlign w:val="center"/>
          </w:tcPr>
          <w:p>
            <w:pPr>
              <w:adjustRightInd w:val="0"/>
              <w:spacing w:line="360" w:lineRule="auto"/>
              <w:jc w:val="center"/>
              <w:rPr>
                <w:rFonts w:hint="eastAsia" w:ascii="仿宋" w:hAnsi="仿宋" w:eastAsia="仿宋" w:cs="仿宋"/>
                <w:color w:val="auto"/>
                <w:spacing w:val="-6"/>
                <w:sz w:val="24"/>
                <w:szCs w:val="24"/>
                <w:highlight w:val="none"/>
              </w:rPr>
            </w:pPr>
          </w:p>
        </w:tc>
        <w:tc>
          <w:tcPr>
            <w:tcW w:w="1466" w:type="dxa"/>
            <w:vAlign w:val="center"/>
          </w:tcPr>
          <w:p>
            <w:pPr>
              <w:adjustRightInd w:val="0"/>
              <w:spacing w:line="360" w:lineRule="auto"/>
              <w:jc w:val="center"/>
              <w:rPr>
                <w:rFonts w:hint="eastAsia" w:ascii="仿宋" w:hAnsi="仿宋" w:eastAsia="仿宋" w:cs="仿宋"/>
                <w:color w:val="auto"/>
                <w:spacing w:val="-6"/>
                <w:sz w:val="24"/>
                <w:szCs w:val="24"/>
                <w:highlight w:val="none"/>
              </w:rPr>
            </w:pPr>
          </w:p>
        </w:tc>
        <w:tc>
          <w:tcPr>
            <w:tcW w:w="1414" w:type="dxa"/>
            <w:vAlign w:val="center"/>
          </w:tcPr>
          <w:p>
            <w:pPr>
              <w:adjustRightInd w:val="0"/>
              <w:spacing w:line="360" w:lineRule="auto"/>
              <w:rPr>
                <w:rFonts w:hint="eastAsia" w:ascii="仿宋" w:hAnsi="仿宋" w:eastAsia="仿宋" w:cs="仿宋"/>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52" w:type="dxa"/>
            <w:gridSpan w:val="7"/>
            <w:vAlign w:val="center"/>
          </w:tcPr>
          <w:p>
            <w:pPr>
              <w:adjustRightInd w:val="0"/>
              <w:spacing w:line="360" w:lineRule="auto"/>
              <w:rPr>
                <w:rFonts w:hint="eastAsia" w:ascii="仿宋" w:hAnsi="仿宋" w:eastAsia="仿宋" w:cs="仿宋"/>
                <w:color w:val="auto"/>
                <w:spacing w:val="-6"/>
                <w:sz w:val="24"/>
                <w:szCs w:val="24"/>
                <w:highlight w:val="none"/>
              </w:rPr>
            </w:pPr>
          </w:p>
          <w:p>
            <w:pPr>
              <w:adjustRightInd w:val="0"/>
              <w:spacing w:line="360" w:lineRule="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合同总价（人民币元）：</w:t>
            </w:r>
          </w:p>
          <w:p>
            <w:pPr>
              <w:adjustRightInd w:val="0"/>
              <w:spacing w:line="360" w:lineRule="auto"/>
              <w:rPr>
                <w:rFonts w:hint="eastAsia" w:ascii="仿宋" w:hAnsi="仿宋" w:eastAsia="仿宋" w:cs="仿宋"/>
                <w:color w:val="auto"/>
                <w:spacing w:val="-6"/>
                <w:sz w:val="24"/>
                <w:szCs w:val="24"/>
                <w:highlight w:val="none"/>
              </w:rPr>
            </w:pPr>
          </w:p>
          <w:p>
            <w:pPr>
              <w:adjustRightInd w:val="0"/>
              <w:spacing w:line="360" w:lineRule="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注：1.以上合同总价包括履行本项目服务的一切费用。</w:t>
            </w:r>
          </w:p>
        </w:tc>
      </w:tr>
    </w:tbl>
    <w:p>
      <w:pPr>
        <w:adjustRightInd w:val="0"/>
        <w:spacing w:line="360" w:lineRule="auto"/>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第二条：服务时间、地点</w:t>
      </w:r>
    </w:p>
    <w:p>
      <w:pPr>
        <w:adjustRightInd w:val="0"/>
        <w:spacing w:line="360" w:lineRule="auto"/>
        <w:ind w:right="-514" w:rightChars="-245"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1.服务时间：合同签订之日起2年；</w:t>
      </w:r>
    </w:p>
    <w:p>
      <w:pPr>
        <w:adjustRightInd w:val="0"/>
        <w:spacing w:line="360" w:lineRule="auto"/>
        <w:ind w:right="-514" w:rightChars="-245"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2.服务地点：甲方指定地点；</w:t>
      </w:r>
    </w:p>
    <w:p>
      <w:pPr>
        <w:adjustRightInd w:val="0"/>
        <w:spacing w:line="360" w:lineRule="auto"/>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第三条：履约保证金和付款方式</w:t>
      </w:r>
    </w:p>
    <w:p>
      <w:pPr>
        <w:adjustRightInd w:val="0"/>
        <w:spacing w:line="360" w:lineRule="auto"/>
        <w:ind w:firstLine="456"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1.合同签订后一周内，乙方向甲方提交合同金额</w:t>
      </w:r>
      <w:r>
        <w:rPr>
          <w:rFonts w:hint="eastAsia" w:ascii="仿宋" w:hAnsi="仿宋" w:eastAsia="仿宋" w:cs="仿宋"/>
          <w:color w:val="auto"/>
          <w:spacing w:val="-6"/>
          <w:sz w:val="24"/>
          <w:szCs w:val="24"/>
          <w:highlight w:val="none"/>
          <w:u w:val="single"/>
        </w:rPr>
        <w:t>1%</w:t>
      </w:r>
      <w:r>
        <w:rPr>
          <w:rFonts w:hint="eastAsia" w:ascii="仿宋" w:hAnsi="仿宋" w:eastAsia="仿宋" w:cs="仿宋"/>
          <w:color w:val="auto"/>
          <w:spacing w:val="-6"/>
          <w:sz w:val="24"/>
          <w:szCs w:val="24"/>
          <w:highlight w:val="none"/>
        </w:rPr>
        <w:t>的履约保证金，履约保证金在服务期内无质量问题和维护问题，服务期满后，于一周内退还（不计息）；</w:t>
      </w:r>
    </w:p>
    <w:p>
      <w:pPr>
        <w:adjustRightInd w:val="0"/>
        <w:spacing w:line="360" w:lineRule="auto"/>
        <w:ind w:firstLine="456"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2.提交方式：金融机构、担保机构出具的保函等非现金形式。</w:t>
      </w:r>
    </w:p>
    <w:p>
      <w:pPr>
        <w:adjustRightInd w:val="0"/>
        <w:spacing w:line="360" w:lineRule="auto"/>
        <w:ind w:firstLine="456"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3.付款方式：</w:t>
      </w:r>
    </w:p>
    <w:p>
      <w:pPr>
        <w:adjustRightInd w:val="0"/>
        <w:spacing w:line="360" w:lineRule="auto"/>
        <w:ind w:firstLine="456"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3.1合同签订后5个工作日内，甲方向乙方支付合同金额的70%；</w:t>
      </w:r>
    </w:p>
    <w:p>
      <w:pPr>
        <w:adjustRightInd w:val="0"/>
        <w:spacing w:line="360" w:lineRule="auto"/>
        <w:ind w:firstLine="456"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3.2 2022年12月10日前，甲方向乙方支付合同金额的25%。</w:t>
      </w:r>
    </w:p>
    <w:p>
      <w:pPr>
        <w:adjustRightInd w:val="0"/>
        <w:spacing w:line="360" w:lineRule="auto"/>
        <w:ind w:firstLine="456"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3.3 验收合格后支付合同金额的5%。</w:t>
      </w:r>
    </w:p>
    <w:p>
      <w:pPr>
        <w:adjustRightInd w:val="0"/>
        <w:spacing w:line="360" w:lineRule="auto"/>
        <w:ind w:firstLine="456"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3.4 付款按财政政策执行，因乙方未按合同履行任务或不符合财政资金支付时间要求等原因造成不能及时付款的，甲方不承担责任。</w:t>
      </w:r>
    </w:p>
    <w:p>
      <w:pPr>
        <w:adjustRightInd w:val="0"/>
        <w:spacing w:line="360" w:lineRule="auto"/>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第四条：</w:t>
      </w:r>
      <w:r>
        <w:rPr>
          <w:rFonts w:hint="eastAsia" w:ascii="仿宋" w:hAnsi="仿宋" w:eastAsia="仿宋" w:cs="仿宋"/>
          <w:b/>
          <w:color w:val="auto"/>
          <w:spacing w:val="-6"/>
          <w:sz w:val="24"/>
          <w:szCs w:val="24"/>
          <w:highlight w:val="none"/>
          <w:lang w:val="en-US" w:eastAsia="zh-CN"/>
        </w:rPr>
        <w:t>保密要求、</w:t>
      </w:r>
      <w:r>
        <w:rPr>
          <w:rFonts w:hint="eastAsia" w:ascii="仿宋" w:hAnsi="仿宋" w:eastAsia="仿宋" w:cs="仿宋"/>
          <w:b/>
          <w:color w:val="auto"/>
          <w:spacing w:val="-6"/>
          <w:sz w:val="24"/>
          <w:szCs w:val="24"/>
          <w:highlight w:val="none"/>
        </w:rPr>
        <w:t>技术资料及知识产权</w:t>
      </w:r>
    </w:p>
    <w:p>
      <w:pPr>
        <w:adjustRightInd w:val="0"/>
        <w:snapToGrid w:val="0"/>
        <w:spacing w:line="360" w:lineRule="auto"/>
        <w:ind w:firstLine="456" w:firstLineChars="200"/>
        <w:rPr>
          <w:rFonts w:hint="eastAsia" w:ascii="仿宋" w:hAnsi="仿宋" w:eastAsia="仿宋" w:cs="仿宋"/>
          <w:color w:val="auto"/>
          <w:spacing w:val="-6"/>
          <w:sz w:val="24"/>
          <w:szCs w:val="24"/>
          <w:highlight w:val="none"/>
          <w:lang w:val="en-US" w:eastAsia="zh-CN"/>
        </w:rPr>
      </w:pPr>
      <w:r>
        <w:rPr>
          <w:rFonts w:hint="eastAsia" w:ascii="仿宋" w:hAnsi="仿宋" w:eastAsia="仿宋" w:cs="仿宋"/>
          <w:color w:val="auto"/>
          <w:spacing w:val="-6"/>
          <w:sz w:val="24"/>
          <w:szCs w:val="24"/>
          <w:highlight w:val="none"/>
          <w:lang w:val="en-US" w:eastAsia="zh-CN"/>
        </w:rPr>
        <w:t>4.1保密要求：</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需对所有监测数据及相关信息资料保密，未经</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书面许可不得以任何方式公开展示、发表或透露给第三方。参与本项目服务的</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及所有人员，对工作中所涉的数据、资料及文件等负有保密义务，任何情况不得向第三方泄露。如存在上述情况，将按严重违约行为依法追究</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相关责任。</w:t>
      </w:r>
    </w:p>
    <w:p>
      <w:pPr>
        <w:adjustRightInd w:val="0"/>
        <w:spacing w:line="360" w:lineRule="auto"/>
        <w:ind w:firstLine="456"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val="en-US" w:eastAsia="zh-CN"/>
        </w:rPr>
        <w:t>4.2知识产权归属：</w:t>
      </w:r>
      <w:r>
        <w:rPr>
          <w:rFonts w:hint="eastAsia" w:ascii="仿宋" w:hAnsi="仿宋" w:eastAsia="仿宋" w:cs="仿宋"/>
          <w:color w:val="auto"/>
          <w:spacing w:val="-6"/>
          <w:sz w:val="24"/>
          <w:szCs w:val="24"/>
          <w:highlight w:val="none"/>
        </w:rPr>
        <w:t>本项目执行过程中所产生的数据资料和技术报告均为甲方所有，乙方未经同意不得擅自使用，由此产生的一切后果由乙方承担。</w:t>
      </w:r>
    </w:p>
    <w:p>
      <w:pPr>
        <w:adjustRightInd w:val="0"/>
        <w:spacing w:line="360" w:lineRule="auto"/>
        <w:contextualSpacing/>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第五条：服务保证</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1.乙方应保证按照有关国际或国家或行业技术标准规范，对项目手工监测及移动监测工作等各个环节进行严格的质量把关。</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2.在服务期内乙方应保证承包区域内的设施、设备良好的运行状况和环境状况。</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3.项目服务期内应严格做好安全防范措施，如乙方项目服务人员在实施中违反操作规定造成人员伤亡事故或实施现场防范措施设置不明造成人员伤害事故，一切责任均由乙方负责。</w:t>
      </w:r>
    </w:p>
    <w:p>
      <w:pPr>
        <w:adjustRightInd w:val="0"/>
        <w:spacing w:line="360" w:lineRule="auto"/>
        <w:ind w:firstLine="480" w:firstLineChars="200"/>
        <w:contextualSpacing/>
        <w:rPr>
          <w:rFonts w:hint="eastAsia" w:ascii="仿宋" w:hAnsi="仿宋" w:eastAsia="仿宋" w:cs="仿宋"/>
          <w:b/>
          <w:color w:val="auto"/>
          <w:spacing w:val="-6"/>
          <w:sz w:val="24"/>
          <w:szCs w:val="24"/>
          <w:highlight w:val="none"/>
        </w:rPr>
      </w:pPr>
      <w:r>
        <w:rPr>
          <w:rFonts w:hint="eastAsia" w:ascii="仿宋" w:hAnsi="仿宋" w:eastAsia="仿宋" w:cs="仿宋"/>
          <w:color w:val="auto"/>
          <w:sz w:val="24"/>
          <w:szCs w:val="24"/>
          <w:highlight w:val="none"/>
        </w:rPr>
        <w:t>4.乙方应为本配备项目组工作人员至少15人，其中包括项目负责人1名，现场采样技术人员10名，样品分析技术人员2名，数据分析技术人员2名。</w:t>
      </w:r>
      <w:r>
        <w:rPr>
          <w:rFonts w:hint="eastAsia" w:ascii="仿宋" w:hAnsi="仿宋" w:eastAsia="仿宋" w:cs="仿宋"/>
          <w:bCs/>
          <w:color w:val="auto"/>
          <w:sz w:val="24"/>
          <w:szCs w:val="24"/>
          <w:highlight w:val="none"/>
        </w:rPr>
        <w:t>若服务期间人员产生变动，须经甲方同意。</w:t>
      </w:r>
    </w:p>
    <w:p>
      <w:pPr>
        <w:adjustRightInd w:val="0"/>
        <w:spacing w:line="360" w:lineRule="auto"/>
        <w:contextualSpacing/>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第六条：乙方的责任与义务</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1.根据投标文件的承诺向甲方委派项目负责人、技术负责人和专业技术人员。</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2.在履行本合同义务的期间，应运用合理的技能，认真、勤奋的工作。</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3.在本合同期内或合同终止后，未征得甲方同意，不得泄露与本项目、本合同有关的技术、资料等，不得以任何形式侵害甲方的知识产权。</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4.负责本项目监测工作，负责处理好与其它项目实施单位的协调。</w:t>
      </w:r>
    </w:p>
    <w:p>
      <w:pPr>
        <w:adjustRightInd w:val="0"/>
        <w:spacing w:line="360" w:lineRule="auto"/>
        <w:contextualSpacing/>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第七条：甲方的责任与义务</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1.应当主要负责项目的所有外部关系的联系与协调，为乙方工作提供良好的外部条件。</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2.应当按合同专用条款双方约定的内容和时间，向乙方提供与项目有关资料。</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3.应当按合同专用条款预定的时间就乙方书面提交并要求做出决定的一切事宜做出书面决定。</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4.应授权一名熟悉本项目情况、能迅速做出决定的项目代表，负责与乙方联系。</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5.有与乙方订立补充合同的签订权。</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6.有对项目监测、方案、规范操作和设计使用功能要求的认定权，以及对项目监测、方案变更的审批权。</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7.有权要求乙方提交工作进度报告及专项报告等。</w:t>
      </w:r>
    </w:p>
    <w:p>
      <w:pPr>
        <w:adjustRightInd w:val="0"/>
        <w:spacing w:line="360" w:lineRule="auto"/>
        <w:ind w:firstLine="480" w:firstLineChars="200"/>
        <w:contextualSpacing/>
        <w:rPr>
          <w:rFonts w:hint="eastAsia" w:ascii="仿宋" w:hAnsi="仿宋" w:eastAsia="仿宋" w:cs="仿宋"/>
          <w:b/>
          <w:color w:val="auto"/>
          <w:spacing w:val="-6"/>
          <w:sz w:val="24"/>
          <w:szCs w:val="24"/>
          <w:highlight w:val="none"/>
        </w:rPr>
      </w:pPr>
      <w:r>
        <w:rPr>
          <w:rFonts w:hint="eastAsia" w:ascii="仿宋" w:hAnsi="仿宋" w:eastAsia="仿宋" w:cs="仿宋"/>
          <w:color w:val="auto"/>
          <w:sz w:val="24"/>
          <w:szCs w:val="24"/>
          <w:highlight w:val="none"/>
        </w:rPr>
        <w:t>8.有权对乙方进行考核及处罚。</w:t>
      </w:r>
    </w:p>
    <w:p>
      <w:pPr>
        <w:adjustRightInd w:val="0"/>
        <w:spacing w:line="360" w:lineRule="auto"/>
        <w:contextualSpacing/>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第八条：履约验收</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1.履约验收根据本次项目招标文件中相关采购要求进行，验收由甲方负责实施。</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2.履约验收的依据：（1）国家强制标准（2）合同和招标文件、投标文件（及投标时的相关承诺）。（3）符合</w:t>
      </w:r>
      <w:bookmarkStart w:id="396" w:name="_Hlk63156334"/>
      <w:r>
        <w:rPr>
          <w:rFonts w:hint="eastAsia" w:ascii="仿宋" w:hAnsi="仿宋" w:eastAsia="仿宋" w:cs="仿宋"/>
          <w:color w:val="auto"/>
          <w:sz w:val="24"/>
          <w:szCs w:val="24"/>
          <w:highlight w:val="none"/>
        </w:rPr>
        <w:t>杭财采监﹝2019﹞10号文件</w:t>
      </w:r>
      <w:bookmarkEnd w:id="396"/>
      <w:r>
        <w:rPr>
          <w:rFonts w:hint="eastAsia" w:ascii="仿宋" w:hAnsi="仿宋" w:eastAsia="仿宋" w:cs="仿宋"/>
          <w:color w:val="auto"/>
          <w:sz w:val="24"/>
          <w:szCs w:val="24"/>
          <w:highlight w:val="none"/>
        </w:rPr>
        <w:t>规定。</w:t>
      </w:r>
    </w:p>
    <w:p>
      <w:pPr>
        <w:autoSpaceDE w:val="0"/>
        <w:autoSpaceDN w:val="0"/>
        <w:adjustRightInd w:val="0"/>
        <w:spacing w:line="360" w:lineRule="auto"/>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3.验收内容：按合同及招标文件、投标文件约定开展相关手工采样、分析和移动监测工作，按时提交原始记录、工作报告和数据分析报告等。</w:t>
      </w:r>
    </w:p>
    <w:p>
      <w:pPr>
        <w:adjustRightInd w:val="0"/>
        <w:spacing w:line="360" w:lineRule="auto"/>
        <w:contextualSpacing/>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第九条：违约处理</w:t>
      </w:r>
    </w:p>
    <w:p>
      <w:pPr>
        <w:adjustRightInd w:val="0"/>
        <w:spacing w:line="360" w:lineRule="auto"/>
        <w:ind w:firstLine="480" w:firstLineChars="200"/>
        <w:contextualSpacing/>
        <w:rPr>
          <w:rFonts w:hint="eastAsia" w:ascii="仿宋" w:hAnsi="仿宋" w:eastAsia="仿宋" w:cs="仿宋"/>
          <w:color w:val="auto"/>
          <w:sz w:val="24"/>
          <w:szCs w:val="24"/>
          <w:highlight w:val="none"/>
        </w:rPr>
      </w:pPr>
      <w:bookmarkStart w:id="397" w:name="_Hlk113484110"/>
      <w:r>
        <w:rPr>
          <w:rFonts w:hint="eastAsia" w:ascii="仿宋" w:hAnsi="仿宋" w:eastAsia="仿宋" w:cs="仿宋"/>
          <w:color w:val="auto"/>
          <w:sz w:val="24"/>
          <w:szCs w:val="24"/>
          <w:highlight w:val="none"/>
        </w:rPr>
        <w:t>甲乙双方应当履行合同约定的义务，如有违反，须承担相应的违约责任。</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除不可抗力外，如果乙方没有按照本合同约定的期限、地点和方式完成约定服务内容，那么甲方有权要求乙方支付违约金，违约金按每迟延一日为合同总价的1%计算，最高限额为本合同总价的20%；超过约定日期的违约金计算数额达到前述最高限额之日起，甲方有权在要求乙方支付违约金的同时，书面通知乙方解除本合同，索回前期已支付的相应费用。</w:t>
      </w:r>
      <w:bookmarkEnd w:id="397"/>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2.乙方出现以下行为的，甲方有权终止合同，情节严重者，将予以通报，给甲方造成损失的，按实际损失进行赔偿：</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（1）未经甲方书面许可公开展示、发表或透露监测结果给第三方的；</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（2）出现调整数据等弄虚作假行为的；</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（3）其他有损采购方利益的行为。</w:t>
      </w:r>
    </w:p>
    <w:p>
      <w:pPr>
        <w:adjustRightInd w:val="0"/>
        <w:spacing w:line="360" w:lineRule="auto"/>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第十条：不可抗力事件处理</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1.不可抗力事故系指甲乙双方在缔结合同时所不能预见的，并且它的发生及其后果无法避免和无法克服的事故。</w:t>
      </w:r>
    </w:p>
    <w:p>
      <w:pPr>
        <w:adjustRightInd w:val="0"/>
        <w:spacing w:line="360" w:lineRule="auto"/>
        <w:ind w:firstLine="480" w:firstLineChars="200"/>
        <w:contextualSpacing/>
        <w:rPr>
          <w:rFonts w:hint="eastAsia" w:ascii="仿宋" w:hAnsi="仿宋" w:eastAsia="仿宋" w:cs="仿宋"/>
          <w:color w:val="auto"/>
          <w:spacing w:val="-6"/>
          <w:sz w:val="24"/>
          <w:szCs w:val="24"/>
          <w:highlight w:val="none"/>
        </w:rPr>
      </w:pPr>
      <w:r>
        <w:rPr>
          <w:rFonts w:hint="eastAsia" w:ascii="仿宋" w:hAnsi="仿宋" w:eastAsia="仿宋" w:cs="仿宋"/>
          <w:color w:val="auto"/>
          <w:sz w:val="24"/>
          <w:szCs w:val="24"/>
          <w:highlight w:val="none"/>
        </w:rPr>
        <w:t>2.签约双方任一方由于不可抗力事故的影响而不能执行合同时，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adjustRightInd w:val="0"/>
        <w:spacing w:line="360" w:lineRule="auto"/>
        <w:ind w:right="-514" w:rightChars="-245"/>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第十一条：争议解决</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1.在本合同履行过程中发生争议，双方应当协商解决。双方不愿协商、调解解决或者协商、调解不成的，可按有关规定向杭州仲裁委员会提起仲裁。</w:t>
      </w:r>
    </w:p>
    <w:p>
      <w:pPr>
        <w:adjustRightInd w:val="0"/>
        <w:spacing w:line="360" w:lineRule="auto"/>
        <w:ind w:firstLine="480" w:firstLineChars="200"/>
        <w:contextualSpacing/>
        <w:rPr>
          <w:rFonts w:hint="eastAsia" w:ascii="仿宋" w:hAnsi="仿宋" w:eastAsia="仿宋" w:cs="仿宋"/>
          <w:snapToGrid w:val="0"/>
          <w:color w:val="auto"/>
          <w:spacing w:val="-6"/>
          <w:sz w:val="24"/>
          <w:szCs w:val="24"/>
          <w:highlight w:val="none"/>
        </w:rPr>
      </w:pPr>
      <w:r>
        <w:rPr>
          <w:rFonts w:hint="eastAsia" w:ascii="仿宋" w:hAnsi="仿宋" w:eastAsia="仿宋" w:cs="仿宋"/>
          <w:snapToGrid w:val="0"/>
          <w:color w:val="auto"/>
          <w:sz w:val="24"/>
          <w:szCs w:val="24"/>
          <w:highlight w:val="none"/>
        </w:rPr>
        <w:t>2.在仲裁期间，除正在进行仲裁的部分外，本合同其他部分应继续执行。</w:t>
      </w:r>
    </w:p>
    <w:p>
      <w:pPr>
        <w:adjustRightInd w:val="0"/>
        <w:spacing w:line="360" w:lineRule="auto"/>
        <w:ind w:right="-514" w:rightChars="-245"/>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第十二条：合同生效</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1.本次招标文件（招标编号：</w:t>
      </w:r>
      <w:r>
        <w:rPr>
          <w:rFonts w:hint="eastAsia" w:ascii="仿宋" w:hAnsi="仿宋" w:eastAsia="仿宋" w:cs="仿宋"/>
          <w:snapToGrid w:val="0"/>
          <w:color w:val="auto"/>
          <w:sz w:val="24"/>
          <w:szCs w:val="24"/>
          <w:highlight w:val="none"/>
          <w:lang w:val="en-US" w:eastAsia="zh-CN"/>
        </w:rPr>
        <w:t xml:space="preserve">    </w:t>
      </w:r>
      <w:r>
        <w:rPr>
          <w:rFonts w:hint="eastAsia" w:ascii="仿宋" w:hAnsi="仿宋" w:eastAsia="仿宋" w:cs="仿宋"/>
          <w:snapToGrid w:val="0"/>
          <w:color w:val="auto"/>
          <w:sz w:val="24"/>
          <w:szCs w:val="24"/>
          <w:highlight w:val="none"/>
        </w:rPr>
        <w:t>）、投标文件及评标过程中形成的文字资料、询标纪要均作为本合同的组成部分，具有同等效力。</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 xml:space="preserve">2.前述文件内容如与本合同发生冲突，以本合同为准，本合同没有约定的，前述文件作为补充和解释。        </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bCs/>
          <w:snapToGrid w:val="0"/>
          <w:color w:val="auto"/>
          <w:sz w:val="24"/>
          <w:szCs w:val="24"/>
          <w:highlight w:val="none"/>
        </w:rPr>
        <w:t>3.</w:t>
      </w:r>
      <w:r>
        <w:rPr>
          <w:rFonts w:hint="eastAsia" w:ascii="仿宋" w:hAnsi="仿宋" w:eastAsia="仿宋" w:cs="仿宋"/>
          <w:snapToGrid w:val="0"/>
          <w:color w:val="auto"/>
          <w:sz w:val="24"/>
          <w:szCs w:val="24"/>
          <w:highlight w:val="none"/>
        </w:rPr>
        <w:t>本合同经甲乙双方法定代表人或其授权代表签字并加盖双方公章后生效。</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 xml:space="preserve">4.本合同一式五份，甲方、乙方各执二份，杭州意信招标代理有限公司一份。 </w:t>
      </w:r>
    </w:p>
    <w:p>
      <w:pPr>
        <w:adjustRightInd w:val="0"/>
        <w:spacing w:line="360" w:lineRule="auto"/>
        <w:contextualSpacing/>
        <w:rPr>
          <w:rFonts w:hint="eastAsia" w:ascii="仿宋" w:hAnsi="仿宋" w:eastAsia="仿宋" w:cs="仿宋"/>
          <w:b/>
          <w:bCs/>
          <w:snapToGrid w:val="0"/>
          <w:color w:val="auto"/>
          <w:sz w:val="24"/>
          <w:szCs w:val="24"/>
          <w:highlight w:val="none"/>
        </w:rPr>
      </w:pPr>
      <w:r>
        <w:rPr>
          <w:rFonts w:hint="eastAsia" w:ascii="仿宋" w:hAnsi="仿宋" w:eastAsia="仿宋" w:cs="仿宋"/>
          <w:b/>
          <w:bCs/>
          <w:snapToGrid w:val="0"/>
          <w:color w:val="auto"/>
          <w:sz w:val="24"/>
          <w:szCs w:val="24"/>
          <w:highlight w:val="none"/>
        </w:rPr>
        <w:t>第十三条：合同修改</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bCs/>
          <w:snapToGrid w:val="0"/>
          <w:color w:val="auto"/>
          <w:sz w:val="24"/>
          <w:szCs w:val="24"/>
          <w:highlight w:val="none"/>
        </w:rPr>
        <w:t>1.</w:t>
      </w:r>
      <w:r>
        <w:rPr>
          <w:rFonts w:hint="eastAsia" w:ascii="仿宋" w:hAnsi="仿宋" w:eastAsia="仿宋" w:cs="仿宋"/>
          <w:snapToGrid w:val="0"/>
          <w:color w:val="auto"/>
          <w:sz w:val="24"/>
          <w:szCs w:val="24"/>
          <w:highlight w:val="none"/>
        </w:rPr>
        <w:t>合同履行期内甲乙双方均不得随意变更或解除合同。合同若有未尽事宜，需经双方共同协商，订立补充协议，补充协议与本合同有同等法律效力。</w:t>
      </w:r>
    </w:p>
    <w:p>
      <w:pPr>
        <w:adjustRightInd w:val="0"/>
        <w:spacing w:line="360" w:lineRule="auto"/>
        <w:ind w:firstLine="480" w:firstLineChars="20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当事人一方要求变更或解除合同时，应当提前30天通知对方，因变更或解除合同使一方遭受损失的，除依法可以免除责任的外，应由责任方负责赔偿。变更或解除合同的通知或协议应当采取书面形式，协议未达成之前，原合同仍然有效。</w:t>
      </w:r>
    </w:p>
    <w:p>
      <w:pPr>
        <w:adjustRightInd w:val="0"/>
        <w:spacing w:line="360" w:lineRule="auto"/>
        <w:contextualSpacing/>
        <w:rPr>
          <w:rFonts w:hint="eastAsia" w:ascii="仿宋" w:hAnsi="仿宋" w:eastAsia="仿宋" w:cs="仿宋"/>
          <w:b/>
          <w:bCs/>
          <w:snapToGrid w:val="0"/>
          <w:color w:val="auto"/>
          <w:sz w:val="24"/>
          <w:szCs w:val="24"/>
          <w:highlight w:val="none"/>
        </w:rPr>
      </w:pPr>
      <w:r>
        <w:rPr>
          <w:rFonts w:hint="eastAsia" w:ascii="仿宋" w:hAnsi="仿宋" w:eastAsia="仿宋" w:cs="仿宋"/>
          <w:b/>
          <w:bCs/>
          <w:snapToGrid w:val="0"/>
          <w:color w:val="auto"/>
          <w:sz w:val="24"/>
          <w:szCs w:val="24"/>
          <w:highlight w:val="none"/>
        </w:rPr>
        <w:t>第十四条：其他</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1.未经过甲方的书面同意，乙方不得转让其应履行的合同项下的义务，和将部分合同项下的义务分包给其他单位完成。</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2.乙方不得参与可能与合同规定的与甲方的利益相冲突的任何活动。</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3.乙方人员在甲方场地工作时，应遵守甲方相关规章、制度。</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4.本合同任何一方给另一方的通知，都应以书面或传真的形式发送，而另一方应以书面形式确认并发送到对方明确的地址。</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5.适用法律：本合同应按照中华人民共和国的法律进行解释。</w:t>
      </w:r>
    </w:p>
    <w:p>
      <w:pPr>
        <w:widowControl/>
        <w:adjustRightInd w:val="0"/>
        <w:spacing w:line="360" w:lineRule="auto"/>
        <w:contextualSpacing/>
        <w:jc w:val="left"/>
        <w:rPr>
          <w:rFonts w:hint="eastAsia" w:ascii="仿宋" w:hAnsi="仿宋" w:eastAsia="仿宋" w:cs="仿宋"/>
          <w:b/>
          <w:snapToGrid w:val="0"/>
          <w:color w:val="auto"/>
          <w:sz w:val="24"/>
          <w:szCs w:val="24"/>
          <w:highlight w:val="none"/>
        </w:rPr>
      </w:pPr>
      <w:r>
        <w:rPr>
          <w:rFonts w:hint="eastAsia" w:ascii="仿宋" w:hAnsi="仿宋" w:eastAsia="仿宋" w:cs="仿宋"/>
          <w:b/>
          <w:snapToGrid w:val="0"/>
          <w:color w:val="auto"/>
          <w:sz w:val="24"/>
          <w:szCs w:val="24"/>
          <w:highlight w:val="none"/>
        </w:rPr>
        <w:t>第十五条：未尽事宜</w:t>
      </w:r>
    </w:p>
    <w:p>
      <w:pPr>
        <w:adjustRightInd w:val="0"/>
        <w:spacing w:line="360" w:lineRule="auto"/>
        <w:ind w:firstLine="480" w:firstLineChars="200"/>
        <w:contextualSpacing/>
        <w:rPr>
          <w:rFonts w:hint="eastAsia" w:ascii="仿宋" w:hAnsi="仿宋" w:eastAsia="仿宋" w:cs="仿宋"/>
          <w:snapToGrid w:val="0"/>
          <w:color w:val="auto"/>
          <w:sz w:val="24"/>
          <w:szCs w:val="24"/>
          <w:highlight w:val="none"/>
        </w:rPr>
      </w:pPr>
      <w:r>
        <w:rPr>
          <w:rFonts w:hint="eastAsia" w:ascii="仿宋" w:hAnsi="仿宋" w:eastAsia="仿宋" w:cs="仿宋"/>
          <w:bCs/>
          <w:snapToGrid w:val="0"/>
          <w:color w:val="auto"/>
          <w:sz w:val="24"/>
          <w:szCs w:val="24"/>
          <w:highlight w:val="none"/>
        </w:rPr>
        <w:t xml:space="preserve">  未尽事宜，双方协商解决。</w:t>
      </w:r>
    </w:p>
    <w:tbl>
      <w:tblPr>
        <w:tblStyle w:val="64"/>
        <w:tblpPr w:leftFromText="180" w:rightFromText="180" w:vertAnchor="text" w:horzAnchor="page" w:tblpX="1436" w:tblpY="447"/>
        <w:tblOverlap w:val="never"/>
        <w:tblW w:w="9458" w:type="dxa"/>
        <w:tblInd w:w="0" w:type="dxa"/>
        <w:tblLayout w:type="fixed"/>
        <w:tblCellMar>
          <w:top w:w="0" w:type="dxa"/>
          <w:left w:w="108" w:type="dxa"/>
          <w:bottom w:w="0" w:type="dxa"/>
          <w:right w:w="108" w:type="dxa"/>
        </w:tblCellMar>
      </w:tblPr>
      <w:tblGrid>
        <w:gridCol w:w="4729"/>
        <w:gridCol w:w="4729"/>
      </w:tblGrid>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hint="eastAsia" w:ascii="仿宋" w:hAnsi="仿宋" w:eastAsia="仿宋" w:cs="仿宋"/>
                <w:snapToGrid w:val="0"/>
                <w:color w:val="auto"/>
                <w:sz w:val="24"/>
                <w:szCs w:val="24"/>
                <w:highlight w:val="none"/>
                <w:lang w:val="en-GB"/>
              </w:rPr>
            </w:pPr>
            <w:r>
              <w:rPr>
                <w:rFonts w:hint="eastAsia" w:ascii="仿宋" w:hAnsi="仿宋" w:eastAsia="仿宋" w:cs="仿宋"/>
                <w:snapToGrid w:val="0"/>
                <w:color w:val="auto"/>
                <w:sz w:val="24"/>
                <w:szCs w:val="24"/>
                <w:highlight w:val="none"/>
              </w:rPr>
              <w:t>甲方（盖章）：</w:t>
            </w:r>
          </w:p>
        </w:tc>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乙方（盖章）：</w:t>
            </w:r>
          </w:p>
        </w:tc>
      </w:tr>
      <w:tr>
        <w:tblPrEx>
          <w:tblCellMar>
            <w:top w:w="0" w:type="dxa"/>
            <w:left w:w="108" w:type="dxa"/>
            <w:bottom w:w="0" w:type="dxa"/>
            <w:right w:w="108" w:type="dxa"/>
          </w:tblCellMar>
        </w:tblPrEx>
        <w:trPr>
          <w:trHeight w:val="769" w:hRule="atLeast"/>
        </w:trPr>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法定代表人：</w:t>
            </w:r>
          </w:p>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或授权代表（签字）：</w:t>
            </w:r>
          </w:p>
        </w:tc>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法定代表人：</w:t>
            </w:r>
          </w:p>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或授权代表（签字）：</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联系人：</w:t>
            </w:r>
          </w:p>
        </w:tc>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联系人：</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地址：</w:t>
            </w:r>
          </w:p>
        </w:tc>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地址：</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电话：</w:t>
            </w:r>
          </w:p>
        </w:tc>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电话：</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传真：</w:t>
            </w:r>
          </w:p>
        </w:tc>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传真：</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开户银行：</w:t>
            </w:r>
          </w:p>
        </w:tc>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开户银行：</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账号：</w:t>
            </w:r>
          </w:p>
        </w:tc>
        <w:tc>
          <w:tcPr>
            <w:tcW w:w="4729" w:type="dxa"/>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账号：</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2" w:firstLineChars="200"/>
              <w:rPr>
                <w:rFonts w:hint="eastAsia" w:ascii="仿宋" w:hAnsi="仿宋" w:eastAsia="仿宋" w:cs="仿宋"/>
                <w:snapToGrid w:val="0"/>
                <w:color w:val="auto"/>
                <w:sz w:val="24"/>
                <w:szCs w:val="24"/>
                <w:highlight w:val="none"/>
              </w:rPr>
            </w:pPr>
            <w:r>
              <w:rPr>
                <w:rFonts w:hint="eastAsia" w:ascii="仿宋" w:hAnsi="仿宋" w:eastAsia="仿宋" w:cs="仿宋"/>
                <w:b/>
                <w:snapToGrid w:val="0"/>
                <w:color w:val="auto"/>
                <w:sz w:val="24"/>
                <w:szCs w:val="24"/>
                <w:highlight w:val="none"/>
              </w:rPr>
              <w:t>鉴证方</w:t>
            </w:r>
            <w:r>
              <w:rPr>
                <w:rFonts w:hint="eastAsia" w:ascii="仿宋" w:hAnsi="仿宋" w:eastAsia="仿宋" w:cs="仿宋"/>
                <w:snapToGrid w:val="0"/>
                <w:color w:val="auto"/>
                <w:sz w:val="24"/>
                <w:szCs w:val="24"/>
                <w:highlight w:val="none"/>
              </w:rPr>
              <w:t>（盖章）：杭州意信招标代理有限公司</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法定代表人：</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或授权代表（签字）：</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联系人：</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地址：</w:t>
            </w:r>
            <w:r>
              <w:rPr>
                <w:rFonts w:hint="eastAsia" w:ascii="仿宋" w:hAnsi="仿宋" w:eastAsia="仿宋" w:cs="仿宋"/>
                <w:snapToGrid w:val="0"/>
                <w:color w:val="auto"/>
                <w:kern w:val="0"/>
                <w:sz w:val="24"/>
                <w:szCs w:val="24"/>
                <w:highlight w:val="none"/>
              </w:rPr>
              <w:t>杭州市教工路1号，西湖数源软件园，17号楼5层509室</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电话：0571-87211505</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传真：0571-87211507</w:t>
            </w:r>
          </w:p>
        </w:tc>
      </w:tr>
    </w:tbl>
    <w:p>
      <w:pPr>
        <w:adjustRightInd w:val="0"/>
        <w:rPr>
          <w:rFonts w:hint="eastAsia" w:ascii="仿宋" w:hAnsi="仿宋" w:eastAsia="仿宋" w:cs="仿宋"/>
          <w:color w:val="auto"/>
          <w:sz w:val="24"/>
          <w:szCs w:val="24"/>
          <w:highlight w:val="none"/>
        </w:rPr>
      </w:pPr>
    </w:p>
    <w:p>
      <w:pPr>
        <w:pStyle w:val="26"/>
        <w:rPr>
          <w:rFonts w:hint="eastAsia"/>
          <w:color w:val="auto"/>
          <w:highlight w:val="none"/>
        </w:rPr>
      </w:pPr>
    </w:p>
    <w:p>
      <w:pPr>
        <w:spacing w:line="560" w:lineRule="exact"/>
        <w:ind w:firstLine="480" w:firstLineChars="200"/>
        <w:rPr>
          <w:rFonts w:ascii="仿宋" w:hAnsi="仿宋" w:eastAsia="仿宋"/>
          <w:color w:val="auto"/>
          <w:sz w:val="24"/>
          <w:highlight w:val="none"/>
        </w:rPr>
      </w:pPr>
    </w:p>
    <w:p>
      <w:pPr>
        <w:rPr>
          <w:rFonts w:hint="eastAsia"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br w:type="page"/>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_GB2312"/>
          <w:b/>
          <w:color w:val="auto"/>
          <w:sz w:val="24"/>
          <w:szCs w:val="24"/>
          <w:highlight w:val="none"/>
          <w:lang w:val="en-US" w:eastAsia="zh-CN"/>
        </w:rPr>
      </w:pPr>
      <w:r>
        <w:rPr>
          <w:rFonts w:hint="eastAsia" w:ascii="仿宋" w:hAnsi="仿宋" w:eastAsia="仿宋" w:cs="仿宋_GB2312"/>
          <w:b/>
          <w:color w:val="auto"/>
          <w:sz w:val="24"/>
          <w:szCs w:val="24"/>
          <w:highlight w:val="none"/>
          <w:lang w:val="en-US" w:eastAsia="zh-CN"/>
        </w:rPr>
        <w:t>标项二：杭州市温室气体同化反演及通量核算服务</w:t>
      </w:r>
    </w:p>
    <w:p>
      <w:pPr>
        <w:keepNext w:val="0"/>
        <w:keepLines w:val="0"/>
        <w:pageBreakBefore w:val="0"/>
        <w:widowControl w:val="0"/>
        <w:kinsoku/>
        <w:wordWrap/>
        <w:overflowPunct/>
        <w:topLinePunct w:val="0"/>
        <w:autoSpaceDE/>
        <w:autoSpaceDN/>
        <w:bidi w:val="0"/>
        <w:adjustRightInd w:val="0"/>
        <w:snapToGrid/>
        <w:spacing w:line="360" w:lineRule="auto"/>
        <w:ind w:firstLine="456" w:firstLineChars="200"/>
        <w:textAlignment w:val="auto"/>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甲、乙双方根据杭州意信招标代理有限公司关于</w:t>
      </w:r>
      <w:r>
        <w:rPr>
          <w:rFonts w:hint="eastAsia" w:ascii="仿宋" w:hAnsi="仿宋" w:eastAsia="仿宋" w:cs="仿宋"/>
          <w:color w:val="auto"/>
          <w:spacing w:val="-6"/>
          <w:sz w:val="24"/>
          <w:highlight w:val="none"/>
          <w:u w:val="single"/>
        </w:rPr>
        <w:t>杭州市温室气体同化反演及通量核算服务</w:t>
      </w:r>
      <w:r>
        <w:rPr>
          <w:rFonts w:hint="eastAsia" w:ascii="仿宋" w:hAnsi="仿宋" w:eastAsia="仿宋" w:cs="仿宋"/>
          <w:color w:val="auto"/>
          <w:spacing w:val="-6"/>
          <w:sz w:val="24"/>
          <w:highlight w:val="none"/>
        </w:rPr>
        <w:t>项目</w:t>
      </w:r>
      <w:r>
        <w:rPr>
          <w:rFonts w:hint="eastAsia" w:ascii="仿宋" w:hAnsi="仿宋" w:eastAsia="仿宋" w:cs="仿宋"/>
          <w:color w:val="auto"/>
          <w:spacing w:val="-6"/>
          <w:sz w:val="24"/>
          <w:highlight w:val="none"/>
          <w:u w:val="single"/>
        </w:rPr>
        <w:t>公开招标</w:t>
      </w:r>
      <w:r>
        <w:rPr>
          <w:rFonts w:hint="eastAsia" w:ascii="仿宋" w:hAnsi="仿宋" w:eastAsia="仿宋" w:cs="仿宋"/>
          <w:color w:val="auto"/>
          <w:spacing w:val="-6"/>
          <w:sz w:val="24"/>
          <w:highlight w:val="none"/>
        </w:rPr>
        <w:t>的结果，签署本合同。</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第一条：服务内容及合同价格</w:t>
      </w:r>
    </w:p>
    <w:tbl>
      <w:tblPr>
        <w:tblStyle w:val="64"/>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808"/>
        <w:gridCol w:w="851"/>
        <w:gridCol w:w="2976"/>
        <w:gridCol w:w="160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1" w:type="dxa"/>
            <w:vAlign w:val="center"/>
          </w:tcPr>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标项</w:t>
            </w:r>
          </w:p>
        </w:tc>
        <w:tc>
          <w:tcPr>
            <w:tcW w:w="1843" w:type="dxa"/>
            <w:vAlign w:val="center"/>
          </w:tcPr>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服务内容</w:t>
            </w:r>
          </w:p>
        </w:tc>
        <w:tc>
          <w:tcPr>
            <w:tcW w:w="808" w:type="dxa"/>
            <w:vAlign w:val="center"/>
          </w:tcPr>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数量</w:t>
            </w:r>
          </w:p>
        </w:tc>
        <w:tc>
          <w:tcPr>
            <w:tcW w:w="851" w:type="dxa"/>
            <w:vAlign w:val="center"/>
          </w:tcPr>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单位</w:t>
            </w:r>
          </w:p>
        </w:tc>
        <w:tc>
          <w:tcPr>
            <w:tcW w:w="2976" w:type="dxa"/>
            <w:vAlign w:val="center"/>
          </w:tcPr>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描述</w:t>
            </w:r>
          </w:p>
        </w:tc>
        <w:tc>
          <w:tcPr>
            <w:tcW w:w="1602" w:type="dxa"/>
            <w:vAlign w:val="center"/>
          </w:tcPr>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单价</w:t>
            </w:r>
          </w:p>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（人民币元）</w:t>
            </w:r>
          </w:p>
        </w:tc>
        <w:tc>
          <w:tcPr>
            <w:tcW w:w="1559" w:type="dxa"/>
            <w:vAlign w:val="center"/>
          </w:tcPr>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合计</w:t>
            </w:r>
          </w:p>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1" w:type="dxa"/>
            <w:vAlign w:val="center"/>
          </w:tcPr>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4</w:t>
            </w:r>
          </w:p>
        </w:tc>
        <w:tc>
          <w:tcPr>
            <w:tcW w:w="1843" w:type="dxa"/>
            <w:vAlign w:val="center"/>
          </w:tcPr>
          <w:p>
            <w:pPr>
              <w:adjustRightInd w:val="0"/>
              <w:spacing w:line="360" w:lineRule="auto"/>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温室气体多源监测数据集成管理及对比分析；温室气体排放反演及生态碳通量反演；数据分析结果及模型反演产品展示</w:t>
            </w:r>
          </w:p>
        </w:tc>
        <w:tc>
          <w:tcPr>
            <w:tcW w:w="808" w:type="dxa"/>
            <w:vAlign w:val="center"/>
          </w:tcPr>
          <w:p>
            <w:pPr>
              <w:adjustRightInd w:val="0"/>
              <w:spacing w:line="360" w:lineRule="auto"/>
              <w:jc w:val="center"/>
              <w:rPr>
                <w:rFonts w:ascii="仿宋" w:hAnsi="仿宋" w:eastAsia="仿宋" w:cs="仿宋"/>
                <w:color w:val="auto"/>
                <w:spacing w:val="-6"/>
                <w:sz w:val="24"/>
                <w:highlight w:val="none"/>
              </w:rPr>
            </w:pPr>
            <w:r>
              <w:rPr>
                <w:rFonts w:ascii="仿宋" w:hAnsi="仿宋" w:eastAsia="仿宋" w:cs="仿宋"/>
                <w:color w:val="auto"/>
                <w:spacing w:val="-6"/>
                <w:sz w:val="24"/>
                <w:highlight w:val="none"/>
              </w:rPr>
              <w:t>1</w:t>
            </w:r>
          </w:p>
        </w:tc>
        <w:tc>
          <w:tcPr>
            <w:tcW w:w="851" w:type="dxa"/>
            <w:vAlign w:val="center"/>
          </w:tcPr>
          <w:p>
            <w:pPr>
              <w:adjustRightInd w:val="0"/>
              <w:spacing w:line="360" w:lineRule="auto"/>
              <w:jc w:val="center"/>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1</w:t>
            </w:r>
          </w:p>
        </w:tc>
        <w:tc>
          <w:tcPr>
            <w:tcW w:w="2976" w:type="dxa"/>
            <w:vAlign w:val="center"/>
          </w:tcPr>
          <w:p>
            <w:pPr>
              <w:adjustRightInd w:val="0"/>
              <w:spacing w:line="360" w:lineRule="auto"/>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业务化运行温室气体反演模式；以月报、季报及年报的形式递交《杭州市温室气体多源监测数据分析及同化反演结果》；集成管理温室气体监测数据、展示相关分析统计结果、基础清单及动态反演产品。</w:t>
            </w:r>
          </w:p>
        </w:tc>
        <w:tc>
          <w:tcPr>
            <w:tcW w:w="1602" w:type="dxa"/>
            <w:vAlign w:val="center"/>
          </w:tcPr>
          <w:p>
            <w:pPr>
              <w:adjustRightInd w:val="0"/>
              <w:spacing w:line="360" w:lineRule="auto"/>
              <w:jc w:val="center"/>
              <w:rPr>
                <w:rFonts w:ascii="仿宋" w:hAnsi="仿宋" w:eastAsia="仿宋" w:cs="仿宋"/>
                <w:color w:val="auto"/>
                <w:spacing w:val="-6"/>
                <w:sz w:val="24"/>
                <w:highlight w:val="none"/>
              </w:rPr>
            </w:pPr>
          </w:p>
        </w:tc>
        <w:tc>
          <w:tcPr>
            <w:tcW w:w="1559" w:type="dxa"/>
            <w:vAlign w:val="center"/>
          </w:tcPr>
          <w:p>
            <w:pPr>
              <w:adjustRightInd w:val="0"/>
              <w:spacing w:line="360" w:lineRule="auto"/>
              <w:jc w:val="center"/>
              <w:rPr>
                <w:rFonts w:ascii="仿宋" w:hAnsi="仿宋" w:eastAsia="仿宋" w:cs="仿宋"/>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490" w:type="dxa"/>
            <w:gridSpan w:val="7"/>
            <w:vAlign w:val="center"/>
          </w:tcPr>
          <w:p>
            <w:pPr>
              <w:adjustRightInd w:val="0"/>
              <w:spacing w:line="360" w:lineRule="auto"/>
              <w:rPr>
                <w:rFonts w:ascii="仿宋" w:hAnsi="仿宋" w:eastAsia="仿宋" w:cs="仿宋"/>
                <w:color w:val="auto"/>
                <w:spacing w:val="-6"/>
                <w:sz w:val="24"/>
                <w:highlight w:val="none"/>
              </w:rPr>
            </w:pPr>
          </w:p>
          <w:p>
            <w:pPr>
              <w:spacing w:line="360" w:lineRule="auto"/>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合同总价（人民币元）：</w:t>
            </w:r>
          </w:p>
          <w:p>
            <w:pPr>
              <w:adjustRightInd w:val="0"/>
              <w:spacing w:line="360" w:lineRule="auto"/>
              <w:rPr>
                <w:rFonts w:ascii="仿宋" w:hAnsi="仿宋" w:eastAsia="仿宋" w:cs="仿宋"/>
                <w:color w:val="auto"/>
                <w:spacing w:val="-6"/>
                <w:sz w:val="24"/>
                <w:highlight w:val="none"/>
              </w:rPr>
            </w:pPr>
          </w:p>
          <w:p>
            <w:pPr>
              <w:adjustRightInd w:val="0"/>
              <w:spacing w:line="360" w:lineRule="auto"/>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注：1.以上合同总价包括履行本项目服务的一切费用。</w:t>
            </w:r>
          </w:p>
        </w:tc>
      </w:tr>
    </w:tbl>
    <w:p>
      <w:pPr>
        <w:adjustRightInd w:val="0"/>
        <w:spacing w:line="360" w:lineRule="auto"/>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第二条：服务时间、地点</w:t>
      </w:r>
    </w:p>
    <w:p>
      <w:pPr>
        <w:adjustRightInd w:val="0"/>
        <w:spacing w:line="360" w:lineRule="auto"/>
        <w:ind w:right="-514" w:rightChars="-245"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1.服务时间：合同签订之日至2022年12月10日前提交《杭州市温室气体监测数据分析及同化反演结果报告》。模型维护期为验收合格后2年。</w:t>
      </w:r>
    </w:p>
    <w:p>
      <w:pPr>
        <w:adjustRightInd w:val="0"/>
        <w:spacing w:line="360" w:lineRule="auto"/>
        <w:ind w:right="-514" w:rightChars="-245"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2.服务地点：甲方指定地点。</w:t>
      </w:r>
    </w:p>
    <w:p>
      <w:pPr>
        <w:adjustRightInd w:val="0"/>
        <w:spacing w:line="360" w:lineRule="auto"/>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第三条：履约保证金和付款方式</w:t>
      </w:r>
    </w:p>
    <w:p>
      <w:pPr>
        <w:adjustRightInd w:val="0"/>
        <w:spacing w:line="360" w:lineRule="auto"/>
        <w:ind w:firstLine="456"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1.合同签订后一周内，乙方向甲方提交合同金额</w:t>
      </w:r>
      <w:r>
        <w:rPr>
          <w:rFonts w:hint="eastAsia" w:ascii="仿宋" w:hAnsi="仿宋" w:eastAsia="仿宋" w:cs="仿宋"/>
          <w:color w:val="auto"/>
          <w:spacing w:val="-6"/>
          <w:sz w:val="24"/>
          <w:highlight w:val="none"/>
          <w:u w:val="single"/>
        </w:rPr>
        <w:t>1%</w:t>
      </w:r>
      <w:r>
        <w:rPr>
          <w:rFonts w:hint="eastAsia" w:ascii="仿宋" w:hAnsi="仿宋" w:eastAsia="仿宋" w:cs="仿宋"/>
          <w:color w:val="auto"/>
          <w:spacing w:val="-6"/>
          <w:sz w:val="24"/>
          <w:highlight w:val="none"/>
        </w:rPr>
        <w:t>的履约保证金，本项目需提供2年模型维护服务，履约保证金在维护服务期内无质量问题和维护问题，服务期满后，于一周内退还（不计息）。</w:t>
      </w:r>
    </w:p>
    <w:p>
      <w:pPr>
        <w:adjustRightInd w:val="0"/>
        <w:spacing w:line="360" w:lineRule="auto"/>
        <w:ind w:firstLine="456"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2.提交方式：金融机构、担保机构出具的保函等非现金形式。</w:t>
      </w:r>
    </w:p>
    <w:p>
      <w:pPr>
        <w:adjustRightInd w:val="0"/>
        <w:spacing w:line="360" w:lineRule="auto"/>
        <w:ind w:firstLine="456"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3.付款方式：</w:t>
      </w:r>
    </w:p>
    <w:p>
      <w:pPr>
        <w:adjustRightInd w:val="0"/>
        <w:spacing w:line="360" w:lineRule="auto"/>
        <w:ind w:firstLine="456"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3.1合同签订之后，</w:t>
      </w:r>
      <w:r>
        <w:rPr>
          <w:rFonts w:hint="eastAsia" w:ascii="仿宋" w:hAnsi="仿宋" w:eastAsia="仿宋" w:cs="仿宋"/>
          <w:color w:val="auto"/>
          <w:spacing w:val="-6"/>
          <w:sz w:val="24"/>
          <w:szCs w:val="24"/>
          <w:highlight w:val="none"/>
        </w:rPr>
        <w:t>甲方向乙方支付合同金额</w:t>
      </w:r>
      <w:r>
        <w:rPr>
          <w:rFonts w:hint="eastAsia" w:ascii="仿宋" w:hAnsi="仿宋" w:eastAsia="仿宋" w:cs="仿宋"/>
          <w:color w:val="auto"/>
          <w:spacing w:val="-6"/>
          <w:sz w:val="24"/>
          <w:highlight w:val="none"/>
        </w:rPr>
        <w:t>的</w:t>
      </w:r>
      <w:r>
        <w:rPr>
          <w:rFonts w:hint="eastAsia" w:ascii="仿宋" w:hAnsi="仿宋" w:eastAsia="仿宋" w:cs="仿宋"/>
          <w:color w:val="auto"/>
          <w:spacing w:val="-6"/>
          <w:sz w:val="24"/>
          <w:highlight w:val="none"/>
          <w:u w:val="single"/>
        </w:rPr>
        <w:t>70%</w:t>
      </w:r>
      <w:r>
        <w:rPr>
          <w:rFonts w:hint="eastAsia" w:ascii="仿宋" w:hAnsi="仿宋" w:eastAsia="仿宋" w:cs="仿宋"/>
          <w:color w:val="auto"/>
          <w:spacing w:val="-6"/>
          <w:sz w:val="24"/>
          <w:highlight w:val="none"/>
        </w:rPr>
        <w:t>作为预付款；</w:t>
      </w:r>
    </w:p>
    <w:p>
      <w:pPr>
        <w:adjustRightInd w:val="0"/>
        <w:spacing w:line="360" w:lineRule="auto"/>
        <w:ind w:firstLine="456"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3.2乙方完成项目验收经甲方确认验收合格后向乙方支付</w:t>
      </w:r>
      <w:r>
        <w:rPr>
          <w:rFonts w:hint="eastAsia" w:ascii="仿宋" w:hAnsi="仿宋" w:eastAsia="仿宋" w:cs="仿宋"/>
          <w:color w:val="auto"/>
          <w:spacing w:val="-6"/>
          <w:sz w:val="24"/>
          <w:szCs w:val="24"/>
          <w:highlight w:val="none"/>
        </w:rPr>
        <w:t>合同金额</w:t>
      </w:r>
      <w:r>
        <w:rPr>
          <w:rFonts w:hint="eastAsia" w:ascii="仿宋" w:hAnsi="仿宋" w:eastAsia="仿宋" w:cs="仿宋"/>
          <w:color w:val="auto"/>
          <w:spacing w:val="-6"/>
          <w:sz w:val="24"/>
          <w:szCs w:val="24"/>
          <w:highlight w:val="none"/>
          <w:lang w:val="en-US" w:eastAsia="zh-CN"/>
        </w:rPr>
        <w:t>的</w:t>
      </w:r>
      <w:r>
        <w:rPr>
          <w:rFonts w:hint="eastAsia" w:ascii="仿宋" w:hAnsi="仿宋" w:eastAsia="仿宋" w:cs="仿宋"/>
          <w:color w:val="auto"/>
          <w:spacing w:val="-6"/>
          <w:sz w:val="24"/>
          <w:highlight w:val="none"/>
        </w:rPr>
        <w:t>剩余</w:t>
      </w:r>
      <w:r>
        <w:rPr>
          <w:rFonts w:hint="eastAsia" w:ascii="仿宋" w:hAnsi="仿宋" w:eastAsia="仿宋" w:cs="仿宋"/>
          <w:color w:val="auto"/>
          <w:spacing w:val="-6"/>
          <w:sz w:val="24"/>
          <w:highlight w:val="none"/>
          <w:u w:val="single"/>
        </w:rPr>
        <w:t>30%</w:t>
      </w:r>
      <w:r>
        <w:rPr>
          <w:rFonts w:hint="eastAsia" w:ascii="仿宋" w:hAnsi="仿宋" w:eastAsia="仿宋" w:cs="仿宋"/>
          <w:color w:val="auto"/>
          <w:spacing w:val="-6"/>
          <w:sz w:val="24"/>
          <w:highlight w:val="none"/>
        </w:rPr>
        <w:t>。</w:t>
      </w:r>
    </w:p>
    <w:p>
      <w:pPr>
        <w:adjustRightInd w:val="0"/>
        <w:spacing w:line="360" w:lineRule="auto"/>
        <w:ind w:firstLine="456"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4.付款按财政政策执行，因乙方未按合同履行任务或考核不合格以及不符合财政资金支付时间要求等原因造成不能及时付款的，甲方不承担责任。</w:t>
      </w:r>
    </w:p>
    <w:p>
      <w:pPr>
        <w:adjustRightInd w:val="0"/>
        <w:spacing w:line="360" w:lineRule="auto"/>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第四条：保密要求</w:t>
      </w:r>
      <w:r>
        <w:rPr>
          <w:rFonts w:hint="eastAsia" w:ascii="仿宋" w:hAnsi="仿宋" w:eastAsia="仿宋" w:cs="仿宋"/>
          <w:b/>
          <w:color w:val="auto"/>
          <w:spacing w:val="-6"/>
          <w:sz w:val="24"/>
          <w:highlight w:val="none"/>
          <w:lang w:eastAsia="zh-CN"/>
        </w:rPr>
        <w:t>、</w:t>
      </w:r>
      <w:r>
        <w:rPr>
          <w:rFonts w:hint="eastAsia" w:ascii="仿宋" w:hAnsi="仿宋" w:eastAsia="仿宋" w:cs="仿宋"/>
          <w:b/>
          <w:color w:val="auto"/>
          <w:spacing w:val="-6"/>
          <w:sz w:val="24"/>
          <w:highlight w:val="none"/>
        </w:rPr>
        <w:t>知识产权归属、处理方式</w:t>
      </w:r>
    </w:p>
    <w:p>
      <w:pPr>
        <w:numPr>
          <w:ilvl w:val="0"/>
          <w:numId w:val="1"/>
        </w:numPr>
        <w:adjustRightInd w:val="0"/>
        <w:spacing w:line="360" w:lineRule="auto"/>
        <w:ind w:firstLine="480" w:firstLineChars="200"/>
        <w:jc w:val="left"/>
        <w:rPr>
          <w:rFonts w:hint="eastAsia" w:ascii="仿宋" w:hAnsi="仿宋" w:eastAsia="仿宋" w:cs="仿宋"/>
          <w:iCs/>
          <w:color w:val="auto"/>
          <w:sz w:val="24"/>
          <w:highlight w:val="none"/>
          <w:lang w:val="en-US" w:eastAsia="zh-CN"/>
        </w:rPr>
      </w:pPr>
      <w:r>
        <w:rPr>
          <w:rFonts w:hint="eastAsia" w:ascii="仿宋" w:hAnsi="仿宋" w:eastAsia="仿宋" w:cs="仿宋"/>
          <w:iCs/>
          <w:color w:val="auto"/>
          <w:sz w:val="24"/>
          <w:highlight w:val="none"/>
          <w:lang w:val="en-US" w:eastAsia="zh-CN"/>
        </w:rPr>
        <w:t>保密要求：乙方需对所有监测数据及相关信息资料保密，未经甲方书面许可不得以任何方式公开展示、发表或透露给第三方。参与本项目服务的乙方及所有人员，对工作中所涉的数据、资料及文件等负有保密义务，任何情况不得向第三方泄露。如存在上述情况，将按严重违约行为依法追究乙方相关责任。</w:t>
      </w:r>
    </w:p>
    <w:p>
      <w:pPr>
        <w:adjustRightInd w:val="0"/>
        <w:spacing w:line="360" w:lineRule="auto"/>
        <w:ind w:firstLine="480" w:firstLineChars="200"/>
        <w:jc w:val="left"/>
        <w:rPr>
          <w:rFonts w:ascii="仿宋" w:hAnsi="仿宋" w:eastAsia="仿宋" w:cs="仿宋"/>
          <w:iCs/>
          <w:color w:val="auto"/>
          <w:sz w:val="24"/>
          <w:highlight w:val="none"/>
        </w:rPr>
      </w:pPr>
      <w:r>
        <w:rPr>
          <w:rFonts w:hint="eastAsia" w:ascii="仿宋" w:hAnsi="仿宋" w:eastAsia="仿宋" w:cs="仿宋"/>
          <w:iCs/>
          <w:color w:val="auto"/>
          <w:sz w:val="24"/>
          <w:highlight w:val="none"/>
          <w:lang w:val="en-US" w:eastAsia="zh-CN"/>
        </w:rPr>
        <w:t>2</w:t>
      </w:r>
      <w:r>
        <w:rPr>
          <w:rFonts w:hint="eastAsia" w:ascii="仿宋" w:hAnsi="仿宋" w:eastAsia="仿宋" w:cs="仿宋"/>
          <w:iCs/>
          <w:color w:val="auto"/>
          <w:sz w:val="24"/>
          <w:highlight w:val="none"/>
        </w:rPr>
        <w:t>.双方确认，对所有保密信息、标志和授权称谓，以及由保密信息、标志和授权称谓衍生的、以其为基础或含有其部分内容的所有信息和材料的所有权利、利益均属于甲方。本合同的签署和履行不应被理解为甲方通过明示、暗示或其他方式许可乙方对甲方在现阶段或将来拥有或持有的知识产权享有任何利益。</w:t>
      </w:r>
    </w:p>
    <w:p>
      <w:pPr>
        <w:adjustRightInd w:val="0"/>
        <w:spacing w:line="360" w:lineRule="auto"/>
        <w:ind w:firstLine="480" w:firstLineChars="200"/>
        <w:jc w:val="left"/>
        <w:rPr>
          <w:rFonts w:ascii="仿宋" w:hAnsi="仿宋" w:eastAsia="仿宋" w:cs="仿宋"/>
          <w:iCs/>
          <w:color w:val="auto"/>
          <w:sz w:val="24"/>
          <w:highlight w:val="none"/>
        </w:rPr>
      </w:pPr>
      <w:r>
        <w:rPr>
          <w:rFonts w:hint="eastAsia" w:ascii="仿宋" w:hAnsi="仿宋" w:eastAsia="仿宋" w:cs="仿宋"/>
          <w:iCs/>
          <w:color w:val="auto"/>
          <w:sz w:val="24"/>
          <w:highlight w:val="none"/>
          <w:lang w:val="en-US" w:eastAsia="zh-CN"/>
        </w:rPr>
        <w:t>3</w:t>
      </w:r>
      <w:r>
        <w:rPr>
          <w:rFonts w:hint="eastAsia" w:ascii="仿宋" w:hAnsi="仿宋" w:eastAsia="仿宋" w:cs="仿宋"/>
          <w:iCs/>
          <w:color w:val="auto"/>
          <w:sz w:val="24"/>
          <w:highlight w:val="none"/>
        </w:rPr>
        <w:t>.本合同所产生技术成果的全部知识产权，包括但不限于著作权、专利权、专利申请权、技术秘密、商标权等，全部归甲方所有，未经甲方事先书面许可，乙方及乙方技术服务人员不得实施、使用该项技术成果，也不得将该项技术成果以任何方式提供给任何第三方（包括甲方单位中与本项目无关的人员）。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pPr>
        <w:adjustRightInd w:val="0"/>
        <w:spacing w:line="360" w:lineRule="auto"/>
        <w:ind w:firstLine="480" w:firstLineChars="200"/>
        <w:jc w:val="left"/>
        <w:rPr>
          <w:rFonts w:ascii="仿宋" w:hAnsi="仿宋" w:eastAsia="仿宋" w:cs="仿宋"/>
          <w:iCs/>
          <w:color w:val="auto"/>
          <w:sz w:val="24"/>
          <w:highlight w:val="none"/>
        </w:rPr>
      </w:pPr>
      <w:r>
        <w:rPr>
          <w:rFonts w:hint="eastAsia" w:ascii="仿宋" w:hAnsi="仿宋" w:eastAsia="仿宋" w:cs="仿宋"/>
          <w:iCs/>
          <w:color w:val="auto"/>
          <w:sz w:val="24"/>
          <w:highlight w:val="none"/>
          <w:lang w:val="en-US" w:eastAsia="zh-CN"/>
        </w:rPr>
        <w:t>4</w:t>
      </w:r>
      <w:r>
        <w:rPr>
          <w:rFonts w:hint="eastAsia" w:ascii="仿宋" w:hAnsi="仿宋" w:eastAsia="仿宋" w:cs="仿宋"/>
          <w:iCs/>
          <w:color w:val="auto"/>
          <w:sz w:val="24"/>
          <w:highlight w:val="none"/>
        </w:rPr>
        <w:t>.乙方保证乙方交付的成果不会侵犯甲方及任何第三方的知识产权，并保证甲方及甲方利益相关方免于遭受任何第三方基于本合同交付成果而提起任何知识产权诉讼。如果任何第三方基于本合同交付成果而针对甲方或甲方利益相关方提起任何知识产权诉讼，乙方应负责应诉，并承担所有费用，包括但不限于：诉讼费、律师费、鉴定费、罚金、赔偿金等，如甲方为自身及甲方利益相关方的利益应诉，并不免除乙方的前述义务，乙方应赔偿甲方因此遭受的前述全部损失。（但由于甲方原因而造成的第三方针对甲方或甲方利益相关方提起任何知识产权诉讼，乙方不承担任何责任）。乙方若侵害了第三方知识产权或其他合法权益的，还应及时公开澄清相关事实，使甲方声誉免受损害。</w:t>
      </w:r>
    </w:p>
    <w:p>
      <w:pPr>
        <w:adjustRightInd w:val="0"/>
        <w:spacing w:line="360" w:lineRule="auto"/>
        <w:ind w:firstLine="480" w:firstLineChars="200"/>
        <w:jc w:val="left"/>
        <w:rPr>
          <w:rFonts w:ascii="仿宋" w:hAnsi="仿宋" w:eastAsia="仿宋" w:cs="仿宋"/>
          <w:iCs/>
          <w:color w:val="auto"/>
          <w:sz w:val="24"/>
          <w:highlight w:val="none"/>
        </w:rPr>
      </w:pPr>
      <w:r>
        <w:rPr>
          <w:rFonts w:hint="eastAsia" w:ascii="仿宋" w:hAnsi="仿宋" w:eastAsia="仿宋" w:cs="仿宋"/>
          <w:iCs/>
          <w:color w:val="auto"/>
          <w:sz w:val="24"/>
          <w:highlight w:val="none"/>
          <w:lang w:val="en-US" w:eastAsia="zh-CN"/>
        </w:rPr>
        <w:t>5</w:t>
      </w:r>
      <w:r>
        <w:rPr>
          <w:rFonts w:hint="eastAsia" w:ascii="仿宋" w:hAnsi="仿宋" w:eastAsia="仿宋" w:cs="仿宋"/>
          <w:iCs/>
          <w:color w:val="auto"/>
          <w:sz w:val="24"/>
          <w:highlight w:val="none"/>
        </w:rPr>
        <w:t>.如乙方发现任何交付成果的知识产权可能有瑕疵，应立即书面通知甲方，并立即采取一切必要措施使交付成果合法化。</w:t>
      </w:r>
    </w:p>
    <w:p>
      <w:pPr>
        <w:adjustRightInd w:val="0"/>
        <w:spacing w:line="360" w:lineRule="auto"/>
        <w:ind w:firstLine="480" w:firstLineChars="200"/>
        <w:jc w:val="left"/>
        <w:rPr>
          <w:rFonts w:ascii="仿宋" w:hAnsi="仿宋" w:eastAsia="仿宋" w:cs="仿宋"/>
          <w:iCs/>
          <w:color w:val="auto"/>
          <w:sz w:val="24"/>
          <w:highlight w:val="none"/>
        </w:rPr>
      </w:pPr>
      <w:r>
        <w:rPr>
          <w:rFonts w:hint="eastAsia" w:ascii="仿宋" w:hAnsi="仿宋" w:eastAsia="仿宋" w:cs="仿宋"/>
          <w:iCs/>
          <w:color w:val="auto"/>
          <w:sz w:val="24"/>
          <w:highlight w:val="none"/>
          <w:lang w:val="en-US" w:eastAsia="zh-CN"/>
        </w:rPr>
        <w:t>6</w:t>
      </w:r>
      <w:r>
        <w:rPr>
          <w:rFonts w:hint="eastAsia" w:ascii="仿宋" w:hAnsi="仿宋" w:eastAsia="仿宋" w:cs="仿宋"/>
          <w:iCs/>
          <w:color w:val="auto"/>
          <w:sz w:val="24"/>
          <w:highlight w:val="none"/>
        </w:rPr>
        <w:t>.本条规定自本合同生效之日起即应履行，长期有效，并且不受本合同届满、提前终止或本合同中其他条款的无效或履行完毕等情形的影响。</w:t>
      </w:r>
    </w:p>
    <w:p>
      <w:pPr>
        <w:adjustRightInd w:val="0"/>
        <w:spacing w:line="360" w:lineRule="auto"/>
        <w:contextualSpacing/>
        <w:rPr>
          <w:rFonts w:ascii="仿宋" w:hAnsi="仿宋" w:eastAsia="仿宋"/>
          <w:b/>
          <w:bCs/>
          <w:color w:val="auto"/>
          <w:sz w:val="24"/>
          <w:highlight w:val="none"/>
        </w:rPr>
      </w:pPr>
      <w:r>
        <w:rPr>
          <w:rFonts w:hint="eastAsia" w:ascii="仿宋" w:hAnsi="仿宋" w:eastAsia="仿宋"/>
          <w:b/>
          <w:bCs/>
          <w:color w:val="auto"/>
          <w:sz w:val="24"/>
          <w:highlight w:val="none"/>
        </w:rPr>
        <w:t>第五条：服务保证</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1.乙方应保证按照有关国际或国家或行业技术标准规范，对项目工作等各个环节进行严格的质量把关。</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2.在服务期内乙方应保证承包区域内的设施、设备良好的运行状况和环境状况。</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3.项目服务期内应严格做好安全防范措施，如乙方项目服务人员在实施中违反操作规定造成人员伤亡事故或实施现场防范措施设置不明造成人员伤害事故，一切责任均由乙方负责。</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4.乙方应为本项目配备至少</w:t>
      </w:r>
      <w:r>
        <w:rPr>
          <w:rFonts w:ascii="仿宋" w:hAnsi="仿宋" w:eastAsia="仿宋"/>
          <w:color w:val="auto"/>
          <w:sz w:val="24"/>
          <w:highlight w:val="none"/>
        </w:rPr>
        <w:t>8</w:t>
      </w:r>
      <w:r>
        <w:rPr>
          <w:rFonts w:hint="eastAsia" w:ascii="仿宋" w:hAnsi="仿宋" w:eastAsia="仿宋"/>
          <w:color w:val="auto"/>
          <w:sz w:val="24"/>
          <w:highlight w:val="none"/>
        </w:rPr>
        <w:t>名高素质专业技术人员，若服务期间人员产生变动，须经甲方同意。</w:t>
      </w:r>
    </w:p>
    <w:p>
      <w:pPr>
        <w:adjustRightInd w:val="0"/>
        <w:spacing w:line="360" w:lineRule="auto"/>
        <w:ind w:firstLine="480" w:firstLineChars="200"/>
        <w:contextualSpacing/>
        <w:rPr>
          <w:rFonts w:hint="eastAsia" w:ascii="仿宋" w:hAnsi="仿宋" w:eastAsia="仿宋"/>
          <w:color w:val="auto"/>
          <w:sz w:val="24"/>
          <w:highlight w:val="none"/>
        </w:rPr>
      </w:pPr>
      <w:r>
        <w:rPr>
          <w:rFonts w:hint="eastAsia" w:ascii="仿宋" w:hAnsi="仿宋" w:eastAsia="仿宋"/>
          <w:color w:val="auto"/>
          <w:sz w:val="24"/>
          <w:highlight w:val="none"/>
        </w:rPr>
        <w:t>5.模型维护期2年，期间乙方（1）</w:t>
      </w:r>
      <w:bookmarkStart w:id="398" w:name="_Hlk112317315"/>
      <w:r>
        <w:rPr>
          <w:rFonts w:hint="eastAsia" w:ascii="仿宋" w:hAnsi="仿宋" w:eastAsia="仿宋"/>
          <w:color w:val="auto"/>
          <w:sz w:val="24"/>
          <w:highlight w:val="none"/>
        </w:rPr>
        <w:t>需</w:t>
      </w:r>
      <w:bookmarkEnd w:id="398"/>
      <w:r>
        <w:rPr>
          <w:rFonts w:hint="eastAsia" w:ascii="仿宋" w:hAnsi="仿宋" w:eastAsia="仿宋"/>
          <w:color w:val="auto"/>
          <w:sz w:val="24"/>
          <w:highlight w:val="none"/>
        </w:rPr>
        <w:t>及时响应</w:t>
      </w:r>
      <w:r>
        <w:rPr>
          <w:rFonts w:hint="eastAsia" w:ascii="仿宋" w:hAnsi="仿宋" w:eastAsia="仿宋"/>
          <w:color w:val="auto"/>
          <w:sz w:val="24"/>
          <w:highlight w:val="none"/>
          <w:lang w:val="en-US" w:eastAsia="zh-CN"/>
        </w:rPr>
        <w:t>甲方</w:t>
      </w:r>
      <w:r>
        <w:rPr>
          <w:rFonts w:hint="eastAsia" w:ascii="仿宋" w:hAnsi="仿宋" w:eastAsia="仿宋"/>
          <w:color w:val="auto"/>
          <w:sz w:val="24"/>
          <w:highlight w:val="none"/>
        </w:rPr>
        <w:t>需求，做到24小时在线响应，如需现场服务支撑，在接到</w:t>
      </w:r>
      <w:r>
        <w:rPr>
          <w:rFonts w:hint="eastAsia" w:ascii="仿宋" w:hAnsi="仿宋" w:eastAsia="仿宋"/>
          <w:color w:val="auto"/>
          <w:sz w:val="24"/>
          <w:highlight w:val="none"/>
          <w:lang w:val="en-US" w:eastAsia="zh-CN"/>
        </w:rPr>
        <w:t>甲方</w:t>
      </w:r>
      <w:r>
        <w:rPr>
          <w:rFonts w:hint="eastAsia" w:ascii="仿宋" w:hAnsi="仿宋" w:eastAsia="仿宋"/>
          <w:color w:val="auto"/>
          <w:sz w:val="24"/>
          <w:highlight w:val="none"/>
        </w:rPr>
        <w:t>通知后，24小时内到达现场；（2）需提供临时性的技术指导及模型分析等服务，配合</w:t>
      </w:r>
      <w:r>
        <w:rPr>
          <w:rFonts w:hint="eastAsia" w:ascii="仿宋" w:hAnsi="仿宋" w:eastAsia="仿宋"/>
          <w:color w:val="auto"/>
          <w:sz w:val="24"/>
          <w:highlight w:val="none"/>
          <w:lang w:val="en-US" w:eastAsia="zh-CN"/>
        </w:rPr>
        <w:t>甲方</w:t>
      </w:r>
      <w:r>
        <w:rPr>
          <w:rFonts w:hint="eastAsia" w:ascii="仿宋" w:hAnsi="仿宋" w:eastAsia="仿宋"/>
          <w:color w:val="auto"/>
          <w:sz w:val="24"/>
          <w:highlight w:val="none"/>
        </w:rPr>
        <w:t>进行温室气体数据分析、模型模拟反演相关服务；（3）应根据本项目特点，拟定有关培训计划并组织实施，开展至少包含</w:t>
      </w:r>
      <w:r>
        <w:rPr>
          <w:rFonts w:hint="eastAsia" w:ascii="仿宋" w:hAnsi="仿宋" w:eastAsia="仿宋"/>
          <w:color w:val="auto"/>
          <w:sz w:val="24"/>
          <w:highlight w:val="none"/>
          <w:lang w:val="en-US" w:eastAsia="zh-CN"/>
        </w:rPr>
        <w:t>5</w:t>
      </w:r>
      <w:r>
        <w:rPr>
          <w:rFonts w:hint="eastAsia" w:ascii="仿宋" w:hAnsi="仿宋" w:eastAsia="仿宋"/>
          <w:color w:val="auto"/>
          <w:sz w:val="24"/>
          <w:highlight w:val="none"/>
        </w:rPr>
        <w:t>天10人次的培训。维护期内，如</w:t>
      </w:r>
      <w:r>
        <w:rPr>
          <w:rFonts w:hint="eastAsia" w:ascii="仿宋" w:hAnsi="仿宋" w:eastAsia="仿宋"/>
          <w:color w:val="auto"/>
          <w:sz w:val="24"/>
          <w:highlight w:val="none"/>
          <w:lang w:val="en-US" w:eastAsia="zh-CN"/>
        </w:rPr>
        <w:t>乙方</w:t>
      </w:r>
      <w:r>
        <w:rPr>
          <w:rFonts w:hint="eastAsia" w:ascii="仿宋" w:hAnsi="仿宋" w:eastAsia="仿宋"/>
          <w:color w:val="auto"/>
          <w:sz w:val="24"/>
          <w:highlight w:val="none"/>
        </w:rPr>
        <w:t>无法达到以上服务响应要求的，每发生一次向采</w:t>
      </w:r>
      <w:r>
        <w:rPr>
          <w:rFonts w:hint="eastAsia" w:ascii="仿宋" w:hAnsi="仿宋" w:eastAsia="仿宋"/>
          <w:color w:val="auto"/>
          <w:sz w:val="24"/>
          <w:highlight w:val="none"/>
          <w:lang w:val="en-US" w:eastAsia="zh-CN"/>
        </w:rPr>
        <w:t>甲方</w:t>
      </w:r>
      <w:r>
        <w:rPr>
          <w:rFonts w:hint="eastAsia" w:ascii="仿宋" w:hAnsi="仿宋" w:eastAsia="仿宋"/>
          <w:color w:val="auto"/>
          <w:sz w:val="24"/>
          <w:highlight w:val="none"/>
        </w:rPr>
        <w:t>支付违约金</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000元。</w:t>
      </w:r>
    </w:p>
    <w:p>
      <w:pPr>
        <w:adjustRightInd w:val="0"/>
        <w:spacing w:line="360" w:lineRule="auto"/>
        <w:contextualSpacing/>
        <w:rPr>
          <w:rFonts w:ascii="仿宋" w:hAnsi="仿宋" w:eastAsia="仿宋"/>
          <w:b/>
          <w:bCs/>
          <w:color w:val="auto"/>
          <w:sz w:val="24"/>
          <w:highlight w:val="none"/>
        </w:rPr>
      </w:pPr>
      <w:r>
        <w:rPr>
          <w:rFonts w:hint="eastAsia" w:ascii="仿宋" w:hAnsi="仿宋" w:eastAsia="仿宋"/>
          <w:b/>
          <w:bCs/>
          <w:color w:val="auto"/>
          <w:sz w:val="24"/>
          <w:highlight w:val="none"/>
        </w:rPr>
        <w:t>第六条：乙方的责任与义务</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1.根据投标文件的承诺向甲方委派项目负责人、技术负责人和专业技术人员。</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2.在履行本合同义务的期间，应运用合理的技能，认真、勤奋的工作。</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3.在本合同期内或合同终止后，未征得甲方同意，不得泄露与本项目、本合同有关的技术、资料等，不得以任何形式侵害甲方的知识产权。</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4.负责本项目具体工作，负责处理好与其它项目实施单位的协调。</w:t>
      </w:r>
    </w:p>
    <w:p>
      <w:pPr>
        <w:adjustRightInd w:val="0"/>
        <w:spacing w:line="360" w:lineRule="auto"/>
        <w:contextualSpacing/>
        <w:rPr>
          <w:rFonts w:ascii="仿宋" w:hAnsi="仿宋" w:eastAsia="仿宋"/>
          <w:b/>
          <w:bCs/>
          <w:color w:val="auto"/>
          <w:sz w:val="24"/>
          <w:highlight w:val="none"/>
        </w:rPr>
      </w:pPr>
      <w:r>
        <w:rPr>
          <w:rFonts w:hint="eastAsia" w:ascii="仿宋" w:hAnsi="仿宋" w:eastAsia="仿宋"/>
          <w:b/>
          <w:bCs/>
          <w:color w:val="auto"/>
          <w:sz w:val="24"/>
          <w:highlight w:val="none"/>
        </w:rPr>
        <w:t>第七条：甲方的责任与义务</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1.应当主要负责项目的所有外部关系的联系与协调，为乙方工作提供良好的外部条件。</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2.应当按合同专用条款双方约定的内容和时间，向乙方提供与项目有关资料。</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3.应当按合同专用条款预定的时间就乙方书面提交并要求做出决定的一切事宜做出书面决定。</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4.应授权一名熟悉本项目情况、能迅速做出决定的项目代表，负责与乙方联系。</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5.有与乙方订立补充合同的签订权。</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6.有对项目监测、方案、规范操作和设计使用功能要求的认定权，以及对项目监测、方案变更的审批权。</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7.有权要求乙方提交工作进度报告及专项报告等。</w:t>
      </w:r>
    </w:p>
    <w:p>
      <w:pPr>
        <w:adjustRightInd w:val="0"/>
        <w:spacing w:line="360" w:lineRule="auto"/>
        <w:ind w:firstLine="480" w:firstLineChars="200"/>
        <w:contextualSpacing/>
        <w:rPr>
          <w:rFonts w:ascii="仿宋" w:hAnsi="仿宋" w:eastAsia="仿宋" w:cs="仿宋"/>
          <w:b/>
          <w:color w:val="auto"/>
          <w:spacing w:val="-6"/>
          <w:sz w:val="24"/>
          <w:highlight w:val="none"/>
        </w:rPr>
      </w:pPr>
      <w:r>
        <w:rPr>
          <w:rFonts w:hint="eastAsia" w:ascii="仿宋" w:hAnsi="仿宋" w:eastAsia="仿宋"/>
          <w:color w:val="auto"/>
          <w:sz w:val="24"/>
          <w:highlight w:val="none"/>
        </w:rPr>
        <w:t>8.有权对乙方进行考核及处罚。</w:t>
      </w:r>
    </w:p>
    <w:p>
      <w:pPr>
        <w:adjustRightInd w:val="0"/>
        <w:spacing w:line="360" w:lineRule="auto"/>
        <w:contextualSpacing/>
        <w:rPr>
          <w:rFonts w:ascii="仿宋" w:hAnsi="仿宋" w:eastAsia="仿宋"/>
          <w:b/>
          <w:bCs/>
          <w:color w:val="auto"/>
          <w:sz w:val="24"/>
          <w:highlight w:val="none"/>
        </w:rPr>
      </w:pPr>
      <w:r>
        <w:rPr>
          <w:rFonts w:hint="eastAsia" w:ascii="仿宋" w:hAnsi="仿宋" w:eastAsia="仿宋"/>
          <w:b/>
          <w:bCs/>
          <w:color w:val="auto"/>
          <w:sz w:val="24"/>
          <w:highlight w:val="none"/>
        </w:rPr>
        <w:t>第八条：履约验收、交付标准和方法</w:t>
      </w:r>
    </w:p>
    <w:p>
      <w:pPr>
        <w:adjustRightInd w:val="0"/>
        <w:spacing w:line="360" w:lineRule="auto"/>
        <w:ind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验收方式：本项目按照《杭州市政府采购履约验收暂行办法》（杭财采监〔2019〕10号）等规定组织验收。履约验收根据本次项目招标文件中相关采购要求进行，验收由甲方负责实施。本项目采用专家评审方式验收，由验收组出具验收证明。项目验收、评审等相关费用由甲方负责。因乙方原因，验收未通过，余款没收。</w:t>
      </w:r>
    </w:p>
    <w:p>
      <w:pPr>
        <w:adjustRightInd w:val="0"/>
        <w:snapToGrid w:val="0"/>
        <w:spacing w:line="360" w:lineRule="auto"/>
        <w:ind w:firstLine="480" w:firstLineChars="200"/>
        <w:jc w:val="left"/>
        <w:rPr>
          <w:rFonts w:ascii="仿宋" w:hAnsi="仿宋" w:eastAsia="仿宋" w:cs="仿宋"/>
          <w:bCs/>
          <w:color w:val="auto"/>
          <w:sz w:val="24"/>
          <w:szCs w:val="22"/>
          <w:highlight w:val="none"/>
        </w:rPr>
      </w:pPr>
      <w:r>
        <w:rPr>
          <w:rFonts w:hint="eastAsia" w:ascii="仿宋" w:hAnsi="仿宋" w:eastAsia="仿宋" w:cs="仿宋"/>
          <w:bCs/>
          <w:color w:val="auto"/>
          <w:sz w:val="24"/>
          <w:highlight w:val="none"/>
        </w:rPr>
        <w:t>2</w:t>
      </w:r>
      <w:r>
        <w:rPr>
          <w:rFonts w:ascii="仿宋" w:hAnsi="仿宋" w:eastAsia="仿宋" w:cs="仿宋"/>
          <w:bCs/>
          <w:color w:val="auto"/>
          <w:sz w:val="24"/>
          <w:highlight w:val="none"/>
        </w:rPr>
        <w:t>.</w:t>
      </w:r>
      <w:r>
        <w:rPr>
          <w:rFonts w:hint="eastAsia" w:ascii="仿宋" w:hAnsi="仿宋" w:eastAsia="仿宋" w:cs="仿宋"/>
          <w:bCs/>
          <w:color w:val="auto"/>
          <w:sz w:val="24"/>
          <w:highlight w:val="none"/>
        </w:rPr>
        <w:t>验收标准：提供一份《杭州市温室气体监测数据分析及同化反演结果报告》，主要内容包括温室气体排放反演模型构建，结合已产生的温室气体数据进行分析反演并获得结果，数据集成管理技术研发。</w:t>
      </w:r>
    </w:p>
    <w:p>
      <w:pPr>
        <w:adjustRightInd w:val="0"/>
        <w:spacing w:line="360" w:lineRule="auto"/>
        <w:ind w:firstLine="480" w:firstLineChars="200"/>
        <w:contextualSpacing/>
        <w:rPr>
          <w:rFonts w:ascii="仿宋" w:hAnsi="仿宋" w:eastAsia="仿宋" w:cs="仿宋"/>
          <w:color w:val="auto"/>
          <w:sz w:val="24"/>
          <w:highlight w:val="none"/>
        </w:rPr>
      </w:pPr>
      <w:r>
        <w:rPr>
          <w:rFonts w:ascii="仿宋" w:hAnsi="仿宋" w:eastAsia="仿宋" w:cs="仿宋"/>
          <w:color w:val="auto"/>
          <w:sz w:val="24"/>
          <w:highlight w:val="none"/>
        </w:rPr>
        <w:t>3</w:t>
      </w:r>
      <w:r>
        <w:rPr>
          <w:rFonts w:hint="eastAsia" w:ascii="仿宋" w:hAnsi="仿宋" w:eastAsia="仿宋" w:cs="仿宋"/>
          <w:color w:val="auto"/>
          <w:sz w:val="24"/>
          <w:highlight w:val="none"/>
        </w:rPr>
        <w:t>.甲方在乙方提供服务的过程中，有权不定期对服务内容和质量进行考核。乙方应当配合进行。</w:t>
      </w:r>
    </w:p>
    <w:p>
      <w:pPr>
        <w:adjustRightInd w:val="0"/>
        <w:spacing w:line="360" w:lineRule="auto"/>
        <w:ind w:firstLine="480" w:firstLineChars="200"/>
        <w:contextualSpacing/>
        <w:rPr>
          <w:rFonts w:ascii="仿宋" w:hAnsi="仿宋" w:eastAsia="仿宋" w:cs="仿宋"/>
          <w:color w:val="auto"/>
          <w:sz w:val="24"/>
          <w:highlight w:val="none"/>
        </w:rPr>
      </w:pPr>
      <w:r>
        <w:rPr>
          <w:rFonts w:ascii="仿宋" w:hAnsi="仿宋" w:eastAsia="仿宋" w:cs="仿宋"/>
          <w:color w:val="auto"/>
          <w:sz w:val="24"/>
          <w:highlight w:val="none"/>
        </w:rPr>
        <w:t>4</w:t>
      </w:r>
      <w:r>
        <w:rPr>
          <w:rFonts w:hint="eastAsia" w:ascii="仿宋" w:hAnsi="仿宋" w:eastAsia="仿宋" w:cs="仿宋"/>
          <w:color w:val="auto"/>
          <w:sz w:val="24"/>
          <w:highlight w:val="none"/>
        </w:rPr>
        <w:t>.乙方在项目完成后，应当及时向甲方发出验收申请，内容包括书面验收申请、相关说明、报告等，甲方收到乙方申请后，组织进行验收考核，乙方应当协助进行。验收结果可以作为甲方付款的考虑依据。</w:t>
      </w:r>
    </w:p>
    <w:p>
      <w:pPr>
        <w:adjustRightInd w:val="0"/>
        <w:spacing w:line="360" w:lineRule="auto"/>
        <w:ind w:firstLine="480" w:firstLineChars="200"/>
        <w:contextualSpacing/>
        <w:rPr>
          <w:rFonts w:ascii="仿宋" w:hAnsi="仿宋" w:eastAsia="仿宋" w:cs="仿宋"/>
          <w:color w:val="auto"/>
          <w:sz w:val="24"/>
          <w:highlight w:val="none"/>
        </w:rPr>
      </w:pPr>
      <w:r>
        <w:rPr>
          <w:rFonts w:ascii="仿宋" w:hAnsi="仿宋" w:eastAsia="仿宋" w:cs="仿宋"/>
          <w:color w:val="auto"/>
          <w:sz w:val="24"/>
          <w:highlight w:val="none"/>
        </w:rPr>
        <w:t>5</w:t>
      </w:r>
      <w:r>
        <w:rPr>
          <w:rFonts w:hint="eastAsia" w:ascii="仿宋" w:hAnsi="仿宋" w:eastAsia="仿宋" w:cs="仿宋"/>
          <w:color w:val="auto"/>
          <w:sz w:val="24"/>
          <w:highlight w:val="none"/>
        </w:rPr>
        <w:t>.乙方在提供服务过程中如存在违反合同相关约定情况的，甲方有权要求乙方立即整改，乙方未按甲方要求整改的，甲方有权拒绝验收，并可中止合同履行，乙方承担因此发生的一切损失、费用及延误责任。</w:t>
      </w:r>
    </w:p>
    <w:p>
      <w:pPr>
        <w:adjustRightInd w:val="0"/>
        <w:spacing w:line="360" w:lineRule="auto"/>
        <w:ind w:firstLine="480" w:firstLineChars="200"/>
        <w:contextualSpacing/>
        <w:rPr>
          <w:rFonts w:ascii="仿宋" w:hAnsi="仿宋" w:eastAsia="仿宋" w:cs="仿宋"/>
          <w:color w:val="auto"/>
          <w:sz w:val="24"/>
          <w:highlight w:val="none"/>
        </w:rPr>
      </w:pPr>
      <w:r>
        <w:rPr>
          <w:rFonts w:ascii="仿宋" w:hAnsi="仿宋" w:eastAsia="仿宋" w:cs="仿宋"/>
          <w:color w:val="auto"/>
          <w:sz w:val="24"/>
          <w:highlight w:val="none"/>
        </w:rPr>
        <w:t>6</w:t>
      </w:r>
      <w:r>
        <w:rPr>
          <w:rFonts w:hint="eastAsia" w:ascii="仿宋" w:hAnsi="仿宋" w:eastAsia="仿宋" w:cs="仿宋"/>
          <w:color w:val="auto"/>
          <w:sz w:val="24"/>
          <w:highlight w:val="none"/>
        </w:rPr>
        <w:t>.经验收后，乙方服务成果不合格的（或未通过评审的），甲方有权要求乙方进行整改，相关费用由乙方承担；如整改后仍不合格的，甲方有权解除合同，并可以拒绝支付未支付的款项，乙方已经收取的款项应退还给甲方。</w:t>
      </w:r>
    </w:p>
    <w:p>
      <w:pPr>
        <w:adjustRightInd w:val="0"/>
        <w:spacing w:line="360" w:lineRule="auto"/>
        <w:contextualSpacing/>
        <w:rPr>
          <w:rFonts w:ascii="仿宋" w:hAnsi="仿宋" w:eastAsia="仿宋"/>
          <w:b/>
          <w:bCs/>
          <w:color w:val="auto"/>
          <w:sz w:val="24"/>
          <w:highlight w:val="none"/>
        </w:rPr>
      </w:pPr>
      <w:r>
        <w:rPr>
          <w:rFonts w:hint="eastAsia" w:ascii="仿宋" w:hAnsi="仿宋" w:eastAsia="仿宋"/>
          <w:b/>
          <w:bCs/>
          <w:color w:val="auto"/>
          <w:sz w:val="24"/>
          <w:highlight w:val="none"/>
        </w:rPr>
        <w:t>第九条：违约处理</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1.除不可抗力外，如果乙方没有按照本合同约定的期限、地点和方式完成约定服务内容，那么甲方有权要求乙方支付违约金，违约金按每迟延一日为合同总价的1%计算，最高限额为本合同总价的20%；超过约定日期的违约金计算数额达到前述最高限额之日起，甲方有权在要求乙方支付违约金的同时，书面通知乙方解除本合同，索回前期已支付的相应费用。</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2.甲方付款按照财政政策执行，因乙方提交的发票等请款材料不符合财政要求或财政拨款等原因造成甲方不能及时支付项目经费款项的，甲方不承担责任，乙方不得以此为由怠于履行本合同义务。如甲方无其他正当理由未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6.如果出现政府采购监督管理部门在处理投诉事项期间，书面通知甲方暂停采购活动的情形，或者询问或质疑事项可能影响中标结果的，导致甲方中止履行合同的情形，均不视为甲方违约。</w:t>
      </w:r>
    </w:p>
    <w:p>
      <w:pPr>
        <w:adjustRightInd w:val="0"/>
        <w:spacing w:line="360" w:lineRule="auto"/>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第十条：不可抗力事件处理</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1.不可抗力事故系指甲乙双方在缔结合同时所不能预见的，并且它的发生及其后果无法避免和无法克服的事故。</w:t>
      </w:r>
    </w:p>
    <w:p>
      <w:pPr>
        <w:adjustRightInd w:val="0"/>
        <w:spacing w:line="360" w:lineRule="auto"/>
        <w:ind w:firstLine="480" w:firstLineChars="200"/>
        <w:contextualSpacing/>
        <w:rPr>
          <w:rFonts w:ascii="仿宋" w:hAnsi="仿宋" w:eastAsia="仿宋" w:cs="仿宋"/>
          <w:color w:val="auto"/>
          <w:spacing w:val="-6"/>
          <w:sz w:val="24"/>
          <w:highlight w:val="none"/>
        </w:rPr>
      </w:pPr>
      <w:r>
        <w:rPr>
          <w:rFonts w:hint="eastAsia" w:ascii="仿宋" w:hAnsi="仿宋" w:eastAsia="仿宋"/>
          <w:color w:val="auto"/>
          <w:sz w:val="24"/>
          <w:highlight w:val="none"/>
        </w:rPr>
        <w:t>2.签约双方任一方由于不可抗力事故的影响而不能执行合同时，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adjustRightInd w:val="0"/>
        <w:spacing w:line="360" w:lineRule="auto"/>
        <w:ind w:right="-514" w:rightChars="-245"/>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第十一条：争议解决</w:t>
      </w:r>
    </w:p>
    <w:p>
      <w:pPr>
        <w:adjustRightInd w:val="0"/>
        <w:spacing w:line="360" w:lineRule="auto"/>
        <w:ind w:firstLine="456" w:firstLineChars="200"/>
        <w:contextualSpacing/>
        <w:rPr>
          <w:rFonts w:ascii="仿宋" w:hAnsi="仿宋" w:eastAsia="仿宋" w:cs="仿宋"/>
          <w:snapToGrid w:val="0"/>
          <w:color w:val="auto"/>
          <w:spacing w:val="-6"/>
          <w:sz w:val="24"/>
          <w:highlight w:val="none"/>
        </w:rPr>
      </w:pPr>
      <w:r>
        <w:rPr>
          <w:rFonts w:hint="eastAsia" w:ascii="仿宋" w:hAnsi="仿宋" w:eastAsia="仿宋" w:cs="仿宋"/>
          <w:snapToGrid w:val="0"/>
          <w:color w:val="auto"/>
          <w:spacing w:val="-6"/>
          <w:sz w:val="24"/>
          <w:highlight w:val="none"/>
        </w:rPr>
        <w:t>1.在本合同履行过程中发生争议，双方应当协商解决。双方不愿协商、调解解决或者协商、调解不成的，可按有关规定向杭州仲裁委员会提起仲裁。</w:t>
      </w:r>
    </w:p>
    <w:p>
      <w:pPr>
        <w:adjustRightInd w:val="0"/>
        <w:spacing w:line="360" w:lineRule="auto"/>
        <w:ind w:firstLine="456" w:firstLineChars="200"/>
        <w:contextualSpacing/>
        <w:rPr>
          <w:rFonts w:ascii="仿宋" w:hAnsi="仿宋" w:eastAsia="仿宋" w:cs="仿宋"/>
          <w:snapToGrid w:val="0"/>
          <w:color w:val="auto"/>
          <w:spacing w:val="-6"/>
          <w:sz w:val="24"/>
          <w:highlight w:val="none"/>
        </w:rPr>
      </w:pPr>
      <w:r>
        <w:rPr>
          <w:rFonts w:hint="eastAsia" w:ascii="仿宋" w:hAnsi="仿宋" w:eastAsia="仿宋" w:cs="仿宋"/>
          <w:snapToGrid w:val="0"/>
          <w:color w:val="auto"/>
          <w:spacing w:val="-6"/>
          <w:sz w:val="24"/>
          <w:highlight w:val="none"/>
        </w:rPr>
        <w:t>2.在仲裁期间，除正在进行仲裁的部分外，本合同其他部分应继续执行。</w:t>
      </w:r>
    </w:p>
    <w:p>
      <w:pPr>
        <w:adjustRightInd w:val="0"/>
        <w:spacing w:line="360" w:lineRule="auto"/>
        <w:ind w:right="-514" w:rightChars="-245"/>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第十二条：合同生效</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1.本次招标文件（招标编号：</w:t>
      </w:r>
      <w:r>
        <w:rPr>
          <w:rFonts w:hint="eastAsia" w:ascii="仿宋" w:hAnsi="仿宋" w:eastAsia="仿宋" w:cs="Arial"/>
          <w:snapToGrid w:val="0"/>
          <w:color w:val="auto"/>
          <w:sz w:val="24"/>
          <w:szCs w:val="21"/>
          <w:highlight w:val="none"/>
        </w:rPr>
        <w:t xml:space="preserve">     ）</w:t>
      </w:r>
      <w:r>
        <w:rPr>
          <w:rFonts w:hint="eastAsia" w:ascii="仿宋" w:hAnsi="仿宋" w:eastAsia="仿宋" w:cs="Arial"/>
          <w:snapToGrid w:val="0"/>
          <w:color w:val="auto"/>
          <w:sz w:val="24"/>
          <w:highlight w:val="none"/>
        </w:rPr>
        <w:t>、投标文件及评标过程中形成的文字资料、询标纪要均作为本合同的组成部分，具有同等效力。</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 xml:space="preserve">2.前述文件内容如与本合同发生冲突，以本合同为准，本合同没有约定的，前述文件作为补充和解释。        </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bCs/>
          <w:snapToGrid w:val="0"/>
          <w:color w:val="auto"/>
          <w:sz w:val="24"/>
          <w:highlight w:val="none"/>
        </w:rPr>
        <w:t>3.</w:t>
      </w:r>
      <w:r>
        <w:rPr>
          <w:rFonts w:hint="eastAsia" w:ascii="仿宋" w:hAnsi="仿宋" w:eastAsia="仿宋" w:cs="Arial"/>
          <w:snapToGrid w:val="0"/>
          <w:color w:val="auto"/>
          <w:sz w:val="24"/>
          <w:highlight w:val="none"/>
        </w:rPr>
        <w:t>本合同经甲乙双方法定代表人或其授权代表签字并加盖双方公章后生效。</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 xml:space="preserve">4.本合同一式五份，甲方、乙方各执二份，杭州意信招标代理有限公司一份。 </w:t>
      </w:r>
    </w:p>
    <w:p>
      <w:pPr>
        <w:adjustRightInd w:val="0"/>
        <w:spacing w:line="360" w:lineRule="auto"/>
        <w:contextualSpacing/>
        <w:rPr>
          <w:rFonts w:ascii="仿宋" w:hAnsi="仿宋" w:eastAsia="仿宋" w:cs="Arial"/>
          <w:b/>
          <w:bCs/>
          <w:snapToGrid w:val="0"/>
          <w:color w:val="auto"/>
          <w:sz w:val="24"/>
          <w:highlight w:val="none"/>
        </w:rPr>
      </w:pPr>
      <w:r>
        <w:rPr>
          <w:rFonts w:hint="eastAsia" w:ascii="仿宋" w:hAnsi="仿宋" w:eastAsia="仿宋" w:cs="Arial"/>
          <w:b/>
          <w:bCs/>
          <w:snapToGrid w:val="0"/>
          <w:color w:val="auto"/>
          <w:sz w:val="24"/>
          <w:highlight w:val="none"/>
        </w:rPr>
        <w:t>第十三条：合同修改</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bCs/>
          <w:snapToGrid w:val="0"/>
          <w:color w:val="auto"/>
          <w:sz w:val="24"/>
          <w:szCs w:val="21"/>
          <w:highlight w:val="none"/>
        </w:rPr>
        <w:t>1.</w:t>
      </w:r>
      <w:r>
        <w:rPr>
          <w:rFonts w:hint="eastAsia" w:ascii="仿宋" w:hAnsi="仿宋" w:eastAsia="仿宋" w:cs="Arial"/>
          <w:snapToGrid w:val="0"/>
          <w:color w:val="auto"/>
          <w:sz w:val="24"/>
          <w:highlight w:val="none"/>
        </w:rPr>
        <w:t>合同履行期内甲乙双方均不得随意变更或解除合同。合同若有未尽事宜，需经双方共同协商，订立补充协议，补充协议与本合同有同等法律效力。</w:t>
      </w:r>
    </w:p>
    <w:p>
      <w:pPr>
        <w:adjustRightIn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olor w:val="auto"/>
          <w:sz w:val="24"/>
          <w:highlight w:val="none"/>
        </w:rPr>
        <w:t>2.当事人一方要求变更或解除合同时，应当提前30天通知对方，因变更或解除合同使一方遭受损失的，除依法可以免除责任的外，应由责任方负责赔偿。变更或解除合同的通知或协议应当采取书面形式，协议未达成之前，原合同仍然有效。</w:t>
      </w:r>
    </w:p>
    <w:p>
      <w:pPr>
        <w:adjustRightInd w:val="0"/>
        <w:spacing w:line="360" w:lineRule="auto"/>
        <w:contextualSpacing/>
        <w:rPr>
          <w:rFonts w:ascii="仿宋" w:hAnsi="仿宋" w:eastAsia="仿宋" w:cs="Arial"/>
          <w:b/>
          <w:bCs/>
          <w:snapToGrid w:val="0"/>
          <w:color w:val="auto"/>
          <w:sz w:val="24"/>
          <w:highlight w:val="none"/>
        </w:rPr>
      </w:pPr>
      <w:r>
        <w:rPr>
          <w:rFonts w:hint="eastAsia" w:ascii="仿宋" w:hAnsi="仿宋" w:eastAsia="仿宋" w:cs="Arial"/>
          <w:b/>
          <w:bCs/>
          <w:snapToGrid w:val="0"/>
          <w:color w:val="auto"/>
          <w:sz w:val="24"/>
          <w:highlight w:val="none"/>
        </w:rPr>
        <w:t>第十四条：其他</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1.未经过甲方的书面同意，乙方不得转让其应履行的合同项下的义务，和将部分合同项下的义务分包给其他单位完成。</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2.乙方不得参与可能与合同规定的与甲方的利益相冲突的任何活动。</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3.乙方人员在甲方场地工作时，应遵守甲方相关规章、制度。</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4.本合同任何一方给另一方的通知，都应以书面或传真的形式发送，而另一方应以书面形式确认并发送到对方明确的地址。</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5.适用法律：本合同应按照中华人民共和国的法律进行解释。</w:t>
      </w:r>
    </w:p>
    <w:p>
      <w:pPr>
        <w:widowControl/>
        <w:adjustRightInd w:val="0"/>
        <w:spacing w:line="360" w:lineRule="auto"/>
        <w:contextualSpacing/>
        <w:jc w:val="left"/>
        <w:rPr>
          <w:rFonts w:ascii="仿宋" w:hAnsi="仿宋" w:eastAsia="仿宋" w:cs="Arial"/>
          <w:b/>
          <w:snapToGrid w:val="0"/>
          <w:color w:val="auto"/>
          <w:sz w:val="24"/>
          <w:szCs w:val="21"/>
          <w:highlight w:val="none"/>
        </w:rPr>
      </w:pPr>
      <w:r>
        <w:rPr>
          <w:rFonts w:hint="eastAsia" w:ascii="仿宋" w:hAnsi="仿宋" w:eastAsia="仿宋" w:cs="Arial"/>
          <w:b/>
          <w:snapToGrid w:val="0"/>
          <w:color w:val="auto"/>
          <w:sz w:val="24"/>
          <w:szCs w:val="21"/>
          <w:highlight w:val="none"/>
        </w:rPr>
        <w:t>第十五条：未尽事宜</w:t>
      </w:r>
    </w:p>
    <w:p>
      <w:pPr>
        <w:adjustRightInd w:val="0"/>
        <w:spacing w:line="360" w:lineRule="auto"/>
        <w:ind w:firstLine="480" w:firstLineChars="200"/>
        <w:contextualSpacing/>
        <w:rPr>
          <w:rFonts w:ascii="仿宋" w:hAnsi="仿宋" w:eastAsia="仿宋" w:cs="Arial"/>
          <w:snapToGrid w:val="0"/>
          <w:color w:val="auto"/>
          <w:sz w:val="24"/>
          <w:highlight w:val="none"/>
        </w:rPr>
      </w:pPr>
      <w:r>
        <w:rPr>
          <w:rFonts w:hint="eastAsia" w:ascii="仿宋" w:hAnsi="仿宋" w:eastAsia="仿宋" w:cs="Arial"/>
          <w:bCs/>
          <w:snapToGrid w:val="0"/>
          <w:color w:val="auto"/>
          <w:sz w:val="24"/>
          <w:szCs w:val="21"/>
          <w:highlight w:val="none"/>
        </w:rPr>
        <w:t xml:space="preserve">  未尽事宜，双方协商解决。</w:t>
      </w:r>
    </w:p>
    <w:tbl>
      <w:tblPr>
        <w:tblStyle w:val="64"/>
        <w:tblpPr w:leftFromText="180" w:rightFromText="180" w:vertAnchor="text" w:horzAnchor="page" w:tblpX="1436" w:tblpY="447"/>
        <w:tblOverlap w:val="never"/>
        <w:tblW w:w="9458" w:type="dxa"/>
        <w:tblInd w:w="0" w:type="dxa"/>
        <w:tblLayout w:type="fixed"/>
        <w:tblCellMar>
          <w:top w:w="0" w:type="dxa"/>
          <w:left w:w="108" w:type="dxa"/>
          <w:bottom w:w="0" w:type="dxa"/>
          <w:right w:w="108" w:type="dxa"/>
        </w:tblCellMar>
      </w:tblPr>
      <w:tblGrid>
        <w:gridCol w:w="4729"/>
        <w:gridCol w:w="4729"/>
      </w:tblGrid>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ascii="仿宋" w:hAnsi="仿宋" w:eastAsia="仿宋" w:cs="Arial"/>
                <w:snapToGrid w:val="0"/>
                <w:color w:val="auto"/>
                <w:sz w:val="24"/>
                <w:highlight w:val="none"/>
                <w:lang w:val="en-GB"/>
              </w:rPr>
            </w:pPr>
            <w:r>
              <w:rPr>
                <w:rFonts w:hint="eastAsia" w:ascii="仿宋" w:hAnsi="仿宋" w:eastAsia="仿宋" w:cs="Arial"/>
                <w:snapToGrid w:val="0"/>
                <w:color w:val="auto"/>
                <w:sz w:val="24"/>
                <w:highlight w:val="none"/>
              </w:rPr>
              <w:t>甲方（盖章）：</w:t>
            </w:r>
          </w:p>
        </w:tc>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乙方（盖章）：</w:t>
            </w:r>
          </w:p>
        </w:tc>
      </w:tr>
      <w:tr>
        <w:tblPrEx>
          <w:tblCellMar>
            <w:top w:w="0" w:type="dxa"/>
            <w:left w:w="108" w:type="dxa"/>
            <w:bottom w:w="0" w:type="dxa"/>
            <w:right w:w="108" w:type="dxa"/>
          </w:tblCellMar>
        </w:tblPrEx>
        <w:trPr>
          <w:trHeight w:val="769" w:hRule="atLeast"/>
        </w:trPr>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法定代表人：</w:t>
            </w:r>
          </w:p>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或授权代表（签字）：</w:t>
            </w:r>
          </w:p>
        </w:tc>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法定代表人：</w:t>
            </w:r>
          </w:p>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或授权代表（签字）：</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联系人：</w:t>
            </w:r>
          </w:p>
        </w:tc>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联系人：</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地址：</w:t>
            </w:r>
          </w:p>
        </w:tc>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地址：</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电话：</w:t>
            </w:r>
          </w:p>
        </w:tc>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电话：</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传真：</w:t>
            </w:r>
          </w:p>
        </w:tc>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传真：</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开户银行：</w:t>
            </w:r>
          </w:p>
        </w:tc>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开户银行：</w:t>
            </w:r>
          </w:p>
        </w:tc>
      </w:tr>
      <w:tr>
        <w:tblPrEx>
          <w:tblCellMar>
            <w:top w:w="0" w:type="dxa"/>
            <w:left w:w="108" w:type="dxa"/>
            <w:bottom w:w="0" w:type="dxa"/>
            <w:right w:w="108" w:type="dxa"/>
          </w:tblCellMar>
        </w:tblPrEx>
        <w:trPr>
          <w:trHeight w:val="510" w:hRule="atLeast"/>
        </w:trPr>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账号：</w:t>
            </w:r>
          </w:p>
        </w:tc>
        <w:tc>
          <w:tcPr>
            <w:tcW w:w="4729" w:type="dxa"/>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highlight w:val="none"/>
              </w:rPr>
              <w:t>账号：</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2" w:firstLineChars="200"/>
              <w:rPr>
                <w:rFonts w:ascii="仿宋" w:hAnsi="仿宋" w:eastAsia="仿宋" w:cs="Arial"/>
                <w:snapToGrid w:val="0"/>
                <w:color w:val="auto"/>
                <w:sz w:val="24"/>
                <w:highlight w:val="none"/>
              </w:rPr>
            </w:pPr>
            <w:r>
              <w:rPr>
                <w:rFonts w:hint="eastAsia" w:ascii="仿宋" w:hAnsi="仿宋" w:eastAsia="仿宋" w:cs="Arial"/>
                <w:b/>
                <w:snapToGrid w:val="0"/>
                <w:color w:val="auto"/>
                <w:sz w:val="24"/>
                <w:szCs w:val="21"/>
                <w:highlight w:val="none"/>
              </w:rPr>
              <w:t>鉴证方</w:t>
            </w:r>
            <w:r>
              <w:rPr>
                <w:rFonts w:hint="eastAsia" w:ascii="仿宋" w:hAnsi="仿宋" w:eastAsia="仿宋" w:cs="Arial"/>
                <w:snapToGrid w:val="0"/>
                <w:color w:val="auto"/>
                <w:sz w:val="24"/>
                <w:szCs w:val="21"/>
                <w:highlight w:val="none"/>
              </w:rPr>
              <w:t>（盖章）：杭州意信招标代理有限公司</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szCs w:val="21"/>
                <w:highlight w:val="none"/>
              </w:rPr>
              <w:t>法定代表人：</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szCs w:val="21"/>
                <w:highlight w:val="none"/>
              </w:rPr>
              <w:t>或</w:t>
            </w:r>
            <w:r>
              <w:rPr>
                <w:rFonts w:hint="eastAsia" w:ascii="仿宋" w:hAnsi="仿宋" w:eastAsia="仿宋" w:cs="Arial"/>
                <w:snapToGrid w:val="0"/>
                <w:color w:val="auto"/>
                <w:sz w:val="24"/>
                <w:highlight w:val="none"/>
              </w:rPr>
              <w:t>授权代表</w:t>
            </w:r>
            <w:r>
              <w:rPr>
                <w:rFonts w:hint="eastAsia" w:ascii="仿宋" w:hAnsi="仿宋" w:eastAsia="仿宋" w:cs="Arial"/>
                <w:snapToGrid w:val="0"/>
                <w:color w:val="auto"/>
                <w:sz w:val="24"/>
                <w:szCs w:val="21"/>
                <w:highlight w:val="none"/>
              </w:rPr>
              <w:t>（签字）：</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szCs w:val="21"/>
                <w:highlight w:val="none"/>
              </w:rPr>
              <w:t>联系人：</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szCs w:val="21"/>
                <w:highlight w:val="none"/>
              </w:rPr>
              <w:t>地址：</w:t>
            </w:r>
            <w:r>
              <w:rPr>
                <w:rFonts w:hint="eastAsia" w:ascii="仿宋" w:hAnsi="仿宋" w:eastAsia="仿宋" w:cs="宋体"/>
                <w:snapToGrid w:val="0"/>
                <w:color w:val="auto"/>
                <w:kern w:val="0"/>
                <w:sz w:val="24"/>
                <w:szCs w:val="21"/>
                <w:highlight w:val="none"/>
              </w:rPr>
              <w:t>杭州市教工路1号，西湖数源软件园，17号楼5层509室</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szCs w:val="21"/>
                <w:highlight w:val="none"/>
              </w:rPr>
              <w:t>电话：0571-87211505</w:t>
            </w:r>
          </w:p>
        </w:tc>
      </w:tr>
      <w:tr>
        <w:tblPrEx>
          <w:tblCellMar>
            <w:top w:w="0" w:type="dxa"/>
            <w:left w:w="108" w:type="dxa"/>
            <w:bottom w:w="0" w:type="dxa"/>
            <w:right w:w="108" w:type="dxa"/>
          </w:tblCellMar>
        </w:tblPrEx>
        <w:trPr>
          <w:trHeight w:val="510" w:hRule="atLeast"/>
        </w:trPr>
        <w:tc>
          <w:tcPr>
            <w:tcW w:w="9458" w:type="dxa"/>
            <w:gridSpan w:val="2"/>
          </w:tcPr>
          <w:p>
            <w:pPr>
              <w:adjustRightInd w:val="0"/>
              <w:ind w:firstLine="480" w:firstLineChars="200"/>
              <w:rPr>
                <w:rFonts w:ascii="仿宋" w:hAnsi="仿宋" w:eastAsia="仿宋" w:cs="Arial"/>
                <w:snapToGrid w:val="0"/>
                <w:color w:val="auto"/>
                <w:sz w:val="24"/>
                <w:highlight w:val="none"/>
              </w:rPr>
            </w:pPr>
            <w:r>
              <w:rPr>
                <w:rFonts w:hint="eastAsia" w:ascii="仿宋" w:hAnsi="仿宋" w:eastAsia="仿宋" w:cs="Arial"/>
                <w:snapToGrid w:val="0"/>
                <w:color w:val="auto"/>
                <w:sz w:val="24"/>
                <w:szCs w:val="21"/>
                <w:highlight w:val="none"/>
              </w:rPr>
              <w:t>传真：0571-87211507</w:t>
            </w:r>
          </w:p>
        </w:tc>
      </w:tr>
    </w:tbl>
    <w:p>
      <w:pPr>
        <w:spacing w:line="560" w:lineRule="exact"/>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br w:type="page"/>
      </w:r>
    </w:p>
    <w:p>
      <w:pPr>
        <w:ind w:left="720" w:firstLine="723"/>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 应提交的有关格式范例</w:t>
      </w:r>
    </w:p>
    <w:p>
      <w:pPr>
        <w:spacing w:line="360" w:lineRule="auto"/>
        <w:jc w:val="center"/>
        <w:outlineLvl w:val="0"/>
        <w:rPr>
          <w:rFonts w:ascii="仿宋" w:hAnsi="仿宋" w:eastAsia="仿宋" w:cs="仿宋_GB2312"/>
          <w:b/>
          <w:color w:val="auto"/>
          <w:kern w:val="0"/>
          <w:sz w:val="36"/>
          <w:szCs w:val="36"/>
          <w:highlight w:val="none"/>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资格文件部分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）符合参加政府采购活动应当具备的一般条件的承诺函……</w:t>
      </w:r>
      <w:r>
        <w:rPr>
          <w:rFonts w:hint="eastAsia" w:ascii="仿宋" w:hAnsi="仿宋" w:eastAsia="仿宋"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w:t>
      </w:r>
      <w:r>
        <w:rPr>
          <w:rFonts w:hint="eastAsia" w:ascii="仿宋" w:hAnsi="仿宋" w:eastAsia="仿宋" w:cs="仿宋_GB2312"/>
          <w:color w:val="auto"/>
          <w:sz w:val="24"/>
          <w:highlight w:val="none"/>
        </w:rPr>
        <w:t>落实政府采购政策需满足的资格要求</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………………………………………（页码）</w:t>
      </w:r>
    </w:p>
    <w:p>
      <w:pPr>
        <w:spacing w:line="360" w:lineRule="auto"/>
        <w:ind w:firstLine="480" w:firstLineChars="200"/>
        <w:rPr>
          <w:rFonts w:ascii="仿宋_GB2312" w:hAnsi="仿宋" w:eastAsia="仿宋_GB2312" w:cs="仿宋_GB2312"/>
          <w:color w:val="auto"/>
          <w:sz w:val="24"/>
          <w:highlight w:val="none"/>
        </w:rPr>
      </w:pPr>
    </w:p>
    <w:p>
      <w:pPr>
        <w:jc w:val="center"/>
        <w:rPr>
          <w:rFonts w:ascii="仿宋" w:eastAsia="仿宋"/>
          <w:color w:val="auto"/>
          <w:highlight w:val="none"/>
        </w:rPr>
      </w:pPr>
      <w:r>
        <w:rPr>
          <w:rFonts w:ascii="仿宋_GB2312" w:hAnsi="仿宋" w:eastAsia="仿宋_GB2312" w:cs="仿宋_GB2312"/>
          <w:color w:val="auto"/>
          <w:kern w:val="0"/>
          <w:sz w:val="24"/>
          <w:highlight w:val="none"/>
        </w:rPr>
        <w:br w:type="page"/>
      </w:r>
    </w:p>
    <w:p>
      <w:pPr>
        <w:snapToGrid w:val="0"/>
        <w:spacing w:line="360" w:lineRule="auto"/>
        <w:ind w:right="480"/>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一</w:t>
      </w:r>
      <w:r>
        <w:rPr>
          <w:rFonts w:ascii="仿宋" w:hAnsi="仿宋" w:eastAsia="仿宋" w:cs="仿宋_GB2312"/>
          <w:b/>
          <w:color w:val="auto"/>
          <w:kern w:val="0"/>
          <w:sz w:val="32"/>
          <w:szCs w:val="32"/>
          <w:highlight w:val="none"/>
        </w:rPr>
        <w:t>、 符合参加政府采购活动应当具备的一般条件的承诺函</w:t>
      </w: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b/>
          <w:color w:val="auto"/>
          <w:sz w:val="24"/>
          <w:highlight w:val="none"/>
          <w:lang w:eastAsia="zh-CN"/>
        </w:rPr>
        <w:t>浙江省杭州生态环境监测中心</w:t>
      </w:r>
      <w:r>
        <w:rPr>
          <w:rFonts w:hint="eastAsia" w:ascii="仿宋" w:hAnsi="仿宋" w:eastAsia="仿宋" w:cs="仿宋_GB2312"/>
          <w:color w:val="auto"/>
          <w:sz w:val="24"/>
          <w:highlight w:val="none"/>
        </w:rPr>
        <w:t>、</w:t>
      </w:r>
      <w:r>
        <w:rPr>
          <w:rFonts w:hint="eastAsia" w:ascii="仿宋" w:hAnsi="仿宋" w:eastAsia="仿宋"/>
          <w:b/>
          <w:color w:val="auto"/>
          <w:sz w:val="24"/>
          <w:highlight w:val="none"/>
        </w:rPr>
        <w:t>杭州意信招标代理有限公司</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我方参与</w:t>
      </w:r>
      <w:r>
        <w:rPr>
          <w:rFonts w:hint="eastAsia" w:ascii="仿宋" w:hAnsi="仿宋" w:eastAsia="仿宋" w:cs="仿宋_GB2312"/>
          <w:color w:val="auto"/>
          <w:sz w:val="24"/>
          <w:highlight w:val="none"/>
          <w:u w:val="single"/>
        </w:rPr>
        <w:t>（项目名称）</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u w:val="single"/>
        </w:rPr>
        <w:t>（采购编号）</w:t>
      </w:r>
      <w:r>
        <w:rPr>
          <w:rFonts w:hint="eastAsia" w:ascii="仿宋" w:hAnsi="仿宋" w:eastAsia="仿宋" w:cs="仿宋_GB2312"/>
          <w:color w:val="auto"/>
          <w:sz w:val="24"/>
          <w:highlight w:val="none"/>
        </w:rPr>
        <w:t>】政府采购活动，郑重承诺：</w:t>
      </w:r>
    </w:p>
    <w:p>
      <w:pPr>
        <w:snapToGrid w:val="0"/>
        <w:spacing w:line="360" w:lineRule="auto"/>
        <w:ind w:firstLine="360" w:firstLineChars="150"/>
        <w:rPr>
          <w:rFonts w:ascii="仿宋" w:hAnsi="仿宋" w:eastAsia="仿宋" w:cs="仿宋_GB2312"/>
          <w:color w:val="auto"/>
          <w:sz w:val="24"/>
          <w:highlight w:val="none"/>
        </w:rPr>
      </w:pPr>
      <w:r>
        <w:rPr>
          <w:rFonts w:hint="eastAsia" w:ascii="仿宋" w:hAnsi="仿宋" w:eastAsia="仿宋"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具有独立承担民事责任的能力；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 xml:space="preserve">具有良好的商业信誉和健全的财务会计制度；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具有履行合同所必需的设备和专业技术能力；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有依法缴纳税收和社会保障资金的良好记录；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参加政府采购活动前三年内，在经营活动中没有重大违法记录；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具有法律、行政法规规定的其他条件。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（二）未被信用中国（</w:t>
      </w:r>
      <w:r>
        <w:rPr>
          <w:rFonts w:ascii="仿宋" w:hAnsi="仿宋" w:eastAsia="仿宋"/>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（三）不存在以下情况：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_GB2312"/>
          <w:color w:val="auto"/>
          <w:kern w:val="0"/>
          <w:sz w:val="24"/>
          <w:highlight w:val="none"/>
          <w:lang w:val="zh-CN"/>
        </w:rPr>
      </w:pPr>
    </w:p>
    <w:p>
      <w:pPr>
        <w:snapToGrid w:val="0"/>
        <w:spacing w:line="360" w:lineRule="auto"/>
        <w:ind w:firstLine="5520" w:firstLineChars="23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jc w:val="righ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hint="eastAsia" w:ascii="仿宋" w:hAnsi="仿宋" w:eastAsia="仿宋" w:cs="仿宋_GB2312"/>
          <w:color w:val="auto"/>
          <w:kern w:val="0"/>
          <w:sz w:val="24"/>
          <w:highlight w:val="none"/>
          <w:lang w:val="en-US" w:eastAsia="zh-CN"/>
        </w:rPr>
        <w:t xml:space="preserve">  </w:t>
      </w:r>
      <w:r>
        <w:rPr>
          <w:rFonts w:hint="eastAsia" w:ascii="仿宋" w:hAnsi="仿宋" w:eastAsia="仿宋" w:cs="仿宋_GB2312"/>
          <w:color w:val="auto"/>
          <w:kern w:val="0"/>
          <w:sz w:val="24"/>
          <w:highlight w:val="none"/>
          <w:lang w:val="zh-CN"/>
        </w:rPr>
        <w:t>日</w:t>
      </w:r>
    </w:p>
    <w:p>
      <w:pPr>
        <w:pStyle w:val="3"/>
        <w:rPr>
          <w:color w:val="auto"/>
          <w:highlight w:val="none"/>
        </w:rPr>
      </w:pPr>
    </w:p>
    <w:p>
      <w:pPr>
        <w:widowControl/>
        <w:adjustRightInd/>
        <w:jc w:val="left"/>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t>二、</w:t>
      </w:r>
      <w:r>
        <w:rPr>
          <w:rFonts w:hint="eastAsia" w:ascii="仿宋" w:hAnsi="仿宋" w:eastAsia="仿宋" w:cs="仿宋_GB2312"/>
          <w:b/>
          <w:color w:val="auto"/>
          <w:kern w:val="0"/>
          <w:sz w:val="32"/>
          <w:szCs w:val="32"/>
          <w:highlight w:val="none"/>
        </w:rPr>
        <w:t>落实政府采购政策需满足的资格要求</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仿宋" w:hAnsi="仿宋" w:eastAsia="仿宋" w:cs="仿宋_GB2312"/>
          <w:b/>
          <w:bCs/>
          <w:snapToGrid w:val="0"/>
          <w:color w:val="auto"/>
          <w:kern w:val="28"/>
          <w:sz w:val="24"/>
          <w:szCs w:val="20"/>
          <w:highlight w:val="none"/>
          <w:lang w:val="en-US" w:eastAsia="zh-CN" w:bidi="ar-SA"/>
        </w:rPr>
      </w:pPr>
      <w:r>
        <w:rPr>
          <w:rFonts w:hint="eastAsia" w:ascii="仿宋" w:hAnsi="仿宋" w:eastAsia="仿宋" w:cs="仿宋_GB2312"/>
          <w:b/>
          <w:bCs/>
          <w:snapToGrid w:val="0"/>
          <w:color w:val="auto"/>
          <w:kern w:val="28"/>
          <w:sz w:val="24"/>
          <w:szCs w:val="20"/>
          <w:highlight w:val="none"/>
          <w:lang w:val="en-US" w:eastAsia="zh-CN" w:bidi="ar-SA"/>
        </w:rPr>
        <w:t>标项一：温室气体手工监测及移动监测服务项目</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br w:type="page"/>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标项二：杭州市温室气体同化反演及通量核算服务</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专门面向中小企业，服务全部由符合政策要求的小微企业承接，提供相应的中小企业声明函。</w:t>
      </w: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w:t>
      </w:r>
      <w:r>
        <w:rPr>
          <w:rFonts w:hint="eastAsia" w:ascii="仿宋" w:hAnsi="仿宋" w:eastAsia="仿宋"/>
          <w:b/>
          <w:color w:val="auto"/>
          <w:sz w:val="32"/>
          <w:szCs w:val="32"/>
          <w:highlight w:val="none"/>
          <w:lang w:val="en-US" w:eastAsia="zh-CN"/>
        </w:rPr>
        <w:t>服务</w:t>
      </w:r>
      <w:r>
        <w:rPr>
          <w:rFonts w:hint="eastAsia" w:ascii="仿宋" w:hAnsi="仿宋" w:eastAsia="仿宋" w:cs="仿宋"/>
          <w:b/>
          <w:color w:val="auto"/>
          <w:sz w:val="32"/>
          <w:szCs w:val="32"/>
          <w:highlight w:val="none"/>
        </w:rPr>
        <w:t>）</w:t>
      </w:r>
    </w:p>
    <w:p>
      <w:pPr>
        <w:spacing w:line="360" w:lineRule="auto"/>
        <w:rPr>
          <w:rFonts w:ascii="仿宋" w:hAnsi="仿宋" w:eastAsia="仿宋" w:cs="仿宋"/>
          <w:color w:val="auto"/>
          <w:highlight w:val="none"/>
        </w:rPr>
      </w:pPr>
    </w:p>
    <w:p>
      <w:pPr>
        <w:spacing w:line="360" w:lineRule="auto"/>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highlight w:val="none"/>
        </w:rPr>
        <w:t>本公司郑重声明，根据《政府采购促进中小企业发展管理办法》（财库﹝2020﹞46 号）的规定，本公司参加</w:t>
      </w:r>
      <w:r>
        <w:rPr>
          <w:rFonts w:hint="eastAsia" w:ascii="仿宋" w:hAnsi="仿宋" w:eastAsia="仿宋" w:cs="仿宋"/>
          <w:color w:val="auto"/>
          <w:sz w:val="24"/>
          <w:highlight w:val="none"/>
          <w:u w:val="single"/>
        </w:rPr>
        <w:t>浙江省杭州生态环境监测中心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杭州市温室气体手工监测及碳通量评估项目</w:t>
      </w:r>
      <w:r>
        <w:rPr>
          <w:rFonts w:hint="eastAsia" w:ascii="仿宋" w:hAnsi="仿宋" w:eastAsia="仿宋" w:cs="仿宋"/>
          <w:color w:val="auto"/>
          <w:sz w:val="24"/>
          <w:highlight w:val="none"/>
        </w:rPr>
        <w:t>采购活动，服务全部由符合政策要求的中小企业承接。具体情况如下：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标项二：杭州市温室气体同化反演及通量核算服务</w:t>
      </w:r>
      <w:r>
        <w:rPr>
          <w:rFonts w:hint="eastAsia" w:ascii="仿宋" w:hAnsi="仿宋" w:eastAsia="仿宋" w:cs="仿宋"/>
          <w:color w:val="auto"/>
          <w:sz w:val="24"/>
          <w:highlight w:val="none"/>
        </w:rPr>
        <w:t>，属于</w:t>
      </w:r>
      <w:r>
        <w:rPr>
          <w:rFonts w:hint="eastAsia" w:ascii="仿宋" w:hAnsi="仿宋" w:eastAsia="仿宋" w:cs="仿宋"/>
          <w:color w:val="auto"/>
          <w:kern w:val="0"/>
          <w:sz w:val="24"/>
          <w:highlight w:val="none"/>
          <w:u w:val="single"/>
        </w:rPr>
        <w:t>（十六）其他未列明行业</w:t>
      </w:r>
      <w:r>
        <w:rPr>
          <w:rFonts w:hint="eastAsia" w:ascii="仿宋" w:hAnsi="仿宋" w:eastAsia="仿宋" w:cs="仿宋"/>
          <w:color w:val="auto"/>
          <w:sz w:val="24"/>
          <w:highlight w:val="none"/>
        </w:rPr>
        <w:t xml:space="preserve">；承接企业为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万元，属于</w:t>
      </w:r>
      <w:r>
        <w:rPr>
          <w:rFonts w:hint="eastAsia" w:ascii="仿宋" w:hAnsi="仿宋" w:eastAsia="仿宋" w:cs="仿宋"/>
          <w:b/>
          <w:bCs/>
          <w:color w:val="auto"/>
          <w:sz w:val="24"/>
          <w:highlight w:val="none"/>
          <w:u w:val="single"/>
        </w:rPr>
        <w:t>（</w:t>
      </w:r>
      <w:bookmarkStart w:id="406" w:name="_GoBack"/>
      <w:bookmarkEnd w:id="406"/>
      <w:r>
        <w:rPr>
          <w:rFonts w:hint="eastAsia" w:ascii="仿宋" w:hAnsi="仿宋" w:eastAsia="仿宋" w:cs="仿宋"/>
          <w:b/>
          <w:bCs/>
          <w:color w:val="auto"/>
          <w:sz w:val="24"/>
          <w:highlight w:val="none"/>
          <w:u w:val="single"/>
        </w:rPr>
        <w:t>小型企业、微型企业）填写其中一个</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
          <w:color w:val="auto"/>
          <w:sz w:val="24"/>
          <w:highlight w:val="none"/>
        </w:rPr>
      </w:pPr>
    </w:p>
    <w:p>
      <w:pPr>
        <w:spacing w:line="360" w:lineRule="auto"/>
        <w:ind w:right="1760"/>
        <w:jc w:val="right"/>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ascii="仿宋" w:hAnsi="仿宋" w:eastAsia="仿宋" w:cs="仿宋"/>
          <w:color w:val="auto"/>
          <w:sz w:val="24"/>
          <w:highlight w:val="none"/>
        </w:rPr>
      </w:pPr>
      <w:r>
        <w:rPr>
          <w:rFonts w:hint="eastAsia" w:ascii="仿宋" w:hAnsi="仿宋" w:eastAsia="仿宋" w:cs="仿宋"/>
          <w:color w:val="auto"/>
          <w:sz w:val="24"/>
          <w:highlight w:val="none"/>
        </w:rPr>
        <w:t>日期：</w:t>
      </w:r>
    </w:p>
    <w:p>
      <w:pPr>
        <w:spacing w:line="360" w:lineRule="auto"/>
        <w:ind w:firstLine="310" w:firstLineChars="147"/>
        <w:jc w:val="left"/>
        <w:rPr>
          <w:rFonts w:ascii="仿宋" w:hAnsi="仿宋" w:eastAsia="仿宋" w:cs="仿宋"/>
          <w:b/>
          <w:color w:val="auto"/>
          <w:szCs w:val="21"/>
          <w:highlight w:val="none"/>
        </w:rPr>
      </w:pPr>
    </w:p>
    <w:p>
      <w:pPr>
        <w:spacing w:line="360" w:lineRule="auto"/>
        <w:ind w:firstLine="310" w:firstLineChars="147"/>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b/>
          <w:color w:val="auto"/>
          <w:kern w:val="0"/>
          <w:sz w:val="32"/>
          <w:szCs w:val="32"/>
          <w:highlight w:val="none"/>
        </w:rPr>
      </w:pPr>
    </w:p>
    <w:p>
      <w:pPr>
        <w:spacing w:line="360" w:lineRule="auto"/>
        <w:ind w:right="420"/>
        <w:rPr>
          <w:rFonts w:ascii="仿宋" w:hAnsi="仿宋" w:eastAsia="仿宋" w:cs="仿宋"/>
          <w:color w:val="auto"/>
          <w:sz w:val="24"/>
          <w:highlight w:val="none"/>
        </w:rPr>
      </w:pPr>
      <w:r>
        <w:rPr>
          <w:rFonts w:ascii="仿宋_GB2312" w:hAnsi="仿宋" w:eastAsia="仿宋_GB2312" w:cs="仿宋_GB2312"/>
          <w:b/>
          <w:color w:val="auto"/>
          <w:kern w:val="0"/>
          <w:sz w:val="32"/>
          <w:szCs w:val="32"/>
          <w:highlight w:val="none"/>
        </w:rPr>
        <w:t>备注：</w:t>
      </w:r>
      <w:r>
        <w:rPr>
          <w:rFonts w:hint="eastAsia" w:ascii="仿宋_GB2312" w:hAnsi="仿宋" w:eastAsia="仿宋_GB2312" w:cs="仿宋_GB2312"/>
          <w:b/>
          <w:color w:val="auto"/>
          <w:kern w:val="0"/>
          <w:sz w:val="32"/>
          <w:szCs w:val="32"/>
          <w:highlight w:val="none"/>
        </w:rPr>
        <w:t>（十六）其他未列明行业，</w:t>
      </w:r>
      <w:r>
        <w:rPr>
          <w:rFonts w:ascii="仿宋_GB2312" w:hAnsi="仿宋" w:eastAsia="仿宋_GB2312" w:cs="仿宋_GB2312"/>
          <w:b/>
          <w:color w:val="auto"/>
          <w:kern w:val="0"/>
          <w:sz w:val="32"/>
          <w:szCs w:val="32"/>
          <w:highlight w:val="none"/>
        </w:rPr>
        <w:t>小型企业的认定标准为从业人员</w:t>
      </w:r>
      <w:r>
        <w:rPr>
          <w:rFonts w:hint="eastAsia" w:ascii="仿宋_GB2312" w:hAnsi="仿宋" w:eastAsia="仿宋_GB2312" w:cs="仿宋_GB2312"/>
          <w:b/>
          <w:color w:val="auto"/>
          <w:kern w:val="0"/>
          <w:sz w:val="32"/>
          <w:szCs w:val="32"/>
          <w:highlight w:val="none"/>
        </w:rPr>
        <w:t>10人及以上至100人（不含100人）；微型企业的认定标准为从业人员10人以下。</w:t>
      </w:r>
    </w:p>
    <w:p>
      <w:pPr>
        <w:widowControl/>
        <w:adjustRightInd/>
        <w:spacing w:line="360" w:lineRule="auto"/>
        <w:ind w:firstLine="480" w:firstLineChars="200"/>
        <w:jc w:val="left"/>
        <w:rPr>
          <w:rFonts w:hint="eastAsia" w:ascii="仿宋" w:hAnsi="仿宋" w:eastAsia="仿宋" w:cs="仿宋"/>
          <w:color w:val="auto"/>
          <w:sz w:val="24"/>
          <w:highlight w:val="none"/>
        </w:rPr>
      </w:pPr>
    </w:p>
    <w:p>
      <w:pPr>
        <w:widowControl/>
        <w:adjustRightInd/>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spacing w:line="360" w:lineRule="auto"/>
        <w:ind w:firstLine="723" w:firstLineChars="200"/>
        <w:jc w:val="cente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商务技术文件部分</w:t>
      </w:r>
    </w:p>
    <w:p>
      <w:pPr>
        <w:spacing w:line="360" w:lineRule="auto"/>
        <w:jc w:val="center"/>
        <w:outlineLvl w:val="0"/>
        <w:rPr>
          <w:rFonts w:ascii="仿宋" w:hAnsi="仿宋" w:eastAsia="仿宋" w:cs="仿宋_GB2312"/>
          <w:b/>
          <w:color w:val="auto"/>
          <w:kern w:val="0"/>
          <w:sz w:val="24"/>
          <w:highlight w:val="none"/>
        </w:rPr>
      </w:pPr>
    </w:p>
    <w:p>
      <w:pPr>
        <w:spacing w:line="360" w:lineRule="auto"/>
        <w:jc w:val="center"/>
        <w:outlineLvl w:val="0"/>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1）投标函</w:t>
      </w:r>
      <w:r>
        <w:rPr>
          <w:rFonts w:hint="eastAsia" w:ascii="仿宋" w:hAnsi="仿宋" w:eastAsia="仿宋" w:cs="仿宋_GB2312"/>
          <w:color w:val="auto"/>
          <w:highlight w:val="none"/>
        </w:rPr>
        <w:t>…………………………………………………………………………………（页码）</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2）授权委托书或法定代表人（单位负责人、自然人本人）身份证明</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3）联合协议</w:t>
      </w:r>
      <w:r>
        <w:rPr>
          <w:rFonts w:hint="eastAsia" w:ascii="仿宋" w:hAnsi="仿宋" w:eastAsia="仿宋" w:cs="仿宋_GB2312"/>
          <w:color w:val="auto"/>
          <w:highlight w:val="none"/>
        </w:rPr>
        <w:t>………………………………………………………………………………（页码）</w:t>
      </w:r>
    </w:p>
    <w:p>
      <w:pPr>
        <w:snapToGrid w:val="0"/>
        <w:spacing w:line="360" w:lineRule="auto"/>
        <w:ind w:firstLine="480" w:firstLineChars="200"/>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4）分包意向协议</w:t>
      </w:r>
      <w:r>
        <w:rPr>
          <w:rFonts w:hint="eastAsia" w:ascii="仿宋" w:hAnsi="仿宋" w:eastAsia="仿宋" w:cs="仿宋_GB2312"/>
          <w:color w:val="auto"/>
          <w:highlight w:val="none"/>
        </w:rPr>
        <w:t>…………………………………………………………………………（页码）</w:t>
      </w:r>
    </w:p>
    <w:p>
      <w:pPr>
        <w:snapToGrid w:val="0"/>
        <w:spacing w:line="360" w:lineRule="auto"/>
        <w:ind w:firstLine="480" w:firstLineChars="200"/>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5）符合性审查资料</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6）评标标准相应的商务技术资料</w:t>
      </w:r>
      <w:r>
        <w:rPr>
          <w:rFonts w:hint="eastAsia" w:ascii="仿宋" w:hAnsi="仿宋" w:eastAsia="仿宋" w:cs="仿宋_GB2312"/>
          <w:color w:val="auto"/>
          <w:highlight w:val="none"/>
        </w:rPr>
        <w:t>…………………………</w:t>
      </w:r>
      <w:r>
        <w:rPr>
          <w:rFonts w:hint="eastAsia" w:ascii="仿宋" w:hAnsi="仿宋" w:eastAsia="仿宋" w:cs="仿宋_GB2312"/>
          <w:color w:val="auto"/>
          <w:sz w:val="24"/>
          <w:highlight w:val="none"/>
        </w:rPr>
        <w:t>………</w:t>
      </w:r>
      <w:r>
        <w:rPr>
          <w:rFonts w:hint="eastAsia" w:ascii="仿宋" w:hAnsi="仿宋" w:eastAsia="仿宋" w:cs="仿宋_GB2312"/>
          <w:color w:val="auto"/>
          <w:highlight w:val="none"/>
        </w:rPr>
        <w:t>…</w:t>
      </w:r>
      <w:r>
        <w:rPr>
          <w:rFonts w:hint="eastAsia" w:ascii="仿宋" w:hAnsi="仿宋" w:eastAsia="仿宋" w:cs="仿宋_GB2312"/>
          <w:color w:val="auto"/>
          <w:sz w:val="24"/>
          <w:highlight w:val="none"/>
        </w:rPr>
        <w:t>…</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7）商务技术偏离表</w:t>
      </w:r>
      <w:r>
        <w:rPr>
          <w:rFonts w:hint="eastAsia" w:ascii="仿宋" w:hAnsi="仿宋" w:eastAsia="仿宋" w:cs="仿宋_GB2312"/>
          <w:color w:val="auto"/>
          <w:highlight w:val="none"/>
        </w:rPr>
        <w:t>………………………………………………………………………（页码）</w:t>
      </w:r>
    </w:p>
    <w:p>
      <w:pPr>
        <w:snapToGrid w:val="0"/>
        <w:spacing w:line="360" w:lineRule="auto"/>
        <w:ind w:left="479" w:leftChars="228"/>
        <w:rPr>
          <w:rFonts w:ascii="仿宋" w:hAnsi="仿宋" w:eastAsia="仿宋" w:cs="仿宋_GB2312"/>
          <w:color w:val="auto"/>
          <w:highlight w:val="none"/>
        </w:rPr>
      </w:pPr>
      <w:r>
        <w:rPr>
          <w:rFonts w:hint="eastAsia" w:ascii="仿宋" w:hAnsi="仿宋" w:eastAsia="仿宋" w:cs="仿宋_GB2312"/>
          <w:color w:val="auto"/>
          <w:sz w:val="24"/>
          <w:highlight w:val="none"/>
          <w:lang w:val="zh-CN"/>
        </w:rPr>
        <w:t>（</w:t>
      </w:r>
      <w:r>
        <w:rPr>
          <w:rFonts w:ascii="仿宋" w:hAnsi="仿宋" w:eastAsia="仿宋" w:cs="仿宋_GB2312"/>
          <w:color w:val="auto"/>
          <w:sz w:val="24"/>
          <w:highlight w:val="none"/>
        </w:rPr>
        <w:t>8</w:t>
      </w:r>
      <w:r>
        <w:rPr>
          <w:rFonts w:hint="eastAsia" w:ascii="仿宋" w:hAnsi="仿宋" w:eastAsia="仿宋" w:cs="仿宋_GB2312"/>
          <w:color w:val="auto"/>
          <w:sz w:val="24"/>
          <w:highlight w:val="none"/>
          <w:lang w:val="zh-CN"/>
        </w:rPr>
        <w:t>）政府采购供应商廉洁自律承诺书</w:t>
      </w:r>
      <w:r>
        <w:rPr>
          <w:rFonts w:hint="eastAsia" w:ascii="仿宋" w:hAnsi="仿宋" w:eastAsia="仿宋"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snapToGrid w:val="0"/>
        <w:spacing w:line="360" w:lineRule="auto"/>
        <w:jc w:val="center"/>
        <w:outlineLvl w:val="0"/>
        <w:rPr>
          <w:rFonts w:ascii="仿宋" w:hAnsi="仿宋" w:eastAsia="仿宋" w:cs="仿宋_GB2312"/>
          <w:b/>
          <w:color w:val="auto"/>
          <w:sz w:val="32"/>
          <w:szCs w:val="32"/>
          <w:highlight w:val="none"/>
        </w:rPr>
      </w:pPr>
      <w:r>
        <w:rPr>
          <w:rFonts w:hint="eastAsia" w:ascii="仿宋" w:hAnsi="仿宋" w:eastAsia="仿宋" w:cs="仿宋_GB2312"/>
          <w:b/>
          <w:color w:val="auto"/>
          <w:kern w:val="0"/>
          <w:sz w:val="32"/>
          <w:szCs w:val="32"/>
          <w:highlight w:val="none"/>
        </w:rPr>
        <w:t>一、投标</w:t>
      </w:r>
      <w:r>
        <w:rPr>
          <w:rFonts w:hint="eastAsia" w:ascii="仿宋" w:hAnsi="仿宋" w:eastAsia="仿宋" w:cs="仿宋_GB2312"/>
          <w:b/>
          <w:color w:val="auto"/>
          <w:sz w:val="32"/>
          <w:szCs w:val="32"/>
          <w:highlight w:val="none"/>
        </w:rPr>
        <w:t>函</w:t>
      </w:r>
    </w:p>
    <w:p>
      <w:pPr>
        <w:snapToGrid w:val="0"/>
        <w:spacing w:line="360" w:lineRule="auto"/>
        <w:rPr>
          <w:rFonts w:ascii="仿宋" w:hAnsi="仿宋" w:eastAsia="仿宋" w:cs="仿宋_GB2312"/>
          <w:color w:val="auto"/>
          <w:sz w:val="24"/>
          <w:highlight w:val="none"/>
        </w:rPr>
      </w:pPr>
      <w:r>
        <w:rPr>
          <w:rFonts w:hint="eastAsia" w:ascii="仿宋" w:hAnsi="仿宋" w:eastAsia="仿宋"/>
          <w:b/>
          <w:color w:val="auto"/>
          <w:sz w:val="24"/>
          <w:highlight w:val="none"/>
          <w:lang w:eastAsia="zh-CN"/>
        </w:rPr>
        <w:t>浙江省杭州生态环境监测中心</w:t>
      </w:r>
      <w:r>
        <w:rPr>
          <w:rFonts w:hint="eastAsia" w:ascii="仿宋" w:hAnsi="仿宋" w:eastAsia="仿宋"/>
          <w:b/>
          <w:color w:val="auto"/>
          <w:sz w:val="24"/>
          <w:highlight w:val="none"/>
        </w:rPr>
        <w:t>、杭州意信招标代理有限公司</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我方参加你方组织的</w:t>
      </w:r>
      <w:r>
        <w:rPr>
          <w:rFonts w:hint="eastAsia" w:ascii="仿宋" w:hAnsi="仿宋" w:eastAsia="仿宋" w:cs="仿宋_GB2312"/>
          <w:color w:val="auto"/>
          <w:sz w:val="24"/>
          <w:highlight w:val="none"/>
          <w:u w:val="single"/>
        </w:rPr>
        <w:t>（项目名称）</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u w:val="single"/>
        </w:rPr>
        <w:t>（采购编号）</w:t>
      </w:r>
      <w:r>
        <w:rPr>
          <w:rFonts w:hint="eastAsia" w:ascii="仿宋" w:hAnsi="仿宋" w:eastAsia="仿宋" w:cs="仿宋_GB2312"/>
          <w:color w:val="auto"/>
          <w:sz w:val="24"/>
          <w:highlight w:val="none"/>
        </w:rPr>
        <w:t>】招标的有关活动，并对此项目进行投标。为此：</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我方承诺投标有效期从提交投标文件的截止之日起</w:t>
      </w:r>
      <w:r>
        <w:rPr>
          <w:rFonts w:ascii="仿宋" w:hAnsi="仿宋" w:eastAsia="仿宋" w:cs="仿宋_GB2312"/>
          <w:color w:val="auto"/>
          <w:sz w:val="24"/>
          <w:highlight w:val="none"/>
          <w:u w:val="single"/>
        </w:rPr>
        <w:t xml:space="preserve"> 90 </w:t>
      </w:r>
      <w:r>
        <w:rPr>
          <w:rFonts w:hint="eastAsia" w:ascii="仿宋" w:hAnsi="仿宋" w:eastAsia="仿宋" w:cs="仿宋_GB2312"/>
          <w:color w:val="auto"/>
          <w:sz w:val="24"/>
          <w:highlight w:val="none"/>
        </w:rPr>
        <w:t>天（不少于</w:t>
      </w:r>
      <w:r>
        <w:rPr>
          <w:rFonts w:ascii="仿宋" w:hAnsi="仿宋" w:eastAsia="仿宋" w:cs="仿宋_GB2312"/>
          <w:color w:val="auto"/>
          <w:sz w:val="24"/>
          <w:highlight w:val="none"/>
        </w:rPr>
        <w:t>90天）</w:t>
      </w:r>
      <w:r>
        <w:rPr>
          <w:rFonts w:hint="eastAsia" w:ascii="仿宋" w:hAnsi="仿宋" w:eastAsia="仿宋"/>
          <w:color w:val="auto"/>
          <w:highlight w:val="none"/>
        </w:rPr>
        <w:t>，</w:t>
      </w:r>
      <w:r>
        <w:rPr>
          <w:rFonts w:hint="eastAsia" w:ascii="仿宋" w:hAnsi="仿宋" w:eastAsia="仿宋" w:cs="仿宋_GB2312"/>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我方的投标文件包括以下内容：</w:t>
      </w:r>
    </w:p>
    <w:p>
      <w:pPr>
        <w:snapToGrid w:val="0"/>
        <w:spacing w:line="360" w:lineRule="auto"/>
        <w:ind w:left="210" w:leftChars="100" w:firstLine="480" w:firstLineChars="200"/>
        <w:rPr>
          <w:rFonts w:ascii="仿宋" w:hAnsi="仿宋" w:eastAsia="仿宋" w:cs="仿宋_GB2312"/>
          <w:b/>
          <w:bCs/>
          <w:color w:val="auto"/>
          <w:sz w:val="24"/>
          <w:highlight w:val="none"/>
        </w:rPr>
      </w:pPr>
      <w:r>
        <w:rPr>
          <w:rFonts w:ascii="仿宋" w:hAnsi="仿宋" w:eastAsia="仿宋" w:cs="仿宋_GB2312"/>
          <w:color w:val="auto"/>
          <w:sz w:val="24"/>
          <w:highlight w:val="none"/>
        </w:rPr>
        <w:t>2.1资格文件：</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2.1.</w:t>
      </w:r>
      <w:r>
        <w:rPr>
          <w:rFonts w:hint="eastAsia" w:ascii="仿宋" w:hAnsi="仿宋" w:eastAsia="仿宋" w:cs="仿宋_GB2312"/>
          <w:color w:val="auto"/>
          <w:sz w:val="24"/>
          <w:highlight w:val="none"/>
        </w:rPr>
        <w:t>1承诺函；</w:t>
      </w:r>
    </w:p>
    <w:p>
      <w:pPr>
        <w:snapToGrid w:val="0"/>
        <w:spacing w:line="360" w:lineRule="auto"/>
        <w:ind w:firstLine="960" w:firstLineChars="400"/>
        <w:rPr>
          <w:rFonts w:ascii="仿宋" w:hAnsi="仿宋" w:eastAsia="仿宋" w:cs="仿宋_GB2312"/>
          <w:color w:val="auto"/>
          <w:sz w:val="24"/>
          <w:highlight w:val="none"/>
        </w:rPr>
      </w:pPr>
      <w:r>
        <w:rPr>
          <w:rFonts w:hint="eastAsia" w:ascii="仿宋" w:hAnsi="仿宋" w:eastAsia="仿宋" w:cs="仿宋_GB2312"/>
          <w:color w:val="auto"/>
          <w:sz w:val="24"/>
          <w:highlight w:val="none"/>
        </w:rPr>
        <w:t>2.1.2落实政府采购政策需满足的资格要求；</w:t>
      </w:r>
    </w:p>
    <w:p>
      <w:pPr>
        <w:snapToGrid w:val="0"/>
        <w:spacing w:line="360" w:lineRule="auto"/>
        <w:ind w:left="210" w:leftChars="100"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商务技术</w:t>
      </w:r>
      <w:r>
        <w:rPr>
          <w:rFonts w:hint="eastAsia" w:ascii="仿宋" w:hAnsi="仿宋" w:eastAsia="仿宋" w:cs="仿宋_GB2312"/>
          <w:color w:val="auto"/>
          <w:sz w:val="24"/>
          <w:highlight w:val="none"/>
          <w:lang w:val="zh-CN"/>
        </w:rPr>
        <w:t>文件：</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2.2.1投标函；</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2.2.3联合协议</w:t>
      </w:r>
      <w:r>
        <w:rPr>
          <w:rFonts w:hint="eastAsia" w:ascii="仿宋" w:hAnsi="仿宋" w:eastAsia="仿宋" w:cs="仿宋_GB2312"/>
          <w:color w:val="auto"/>
          <w:sz w:val="24"/>
          <w:highlight w:val="none"/>
        </w:rPr>
        <w:t>（如果有）；</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2.2.4分包意向协议</w:t>
      </w:r>
      <w:r>
        <w:rPr>
          <w:rFonts w:hint="eastAsia" w:ascii="仿宋" w:hAnsi="仿宋" w:eastAsia="仿宋" w:cs="仿宋_GB2312"/>
          <w:color w:val="auto"/>
          <w:sz w:val="24"/>
          <w:highlight w:val="none"/>
        </w:rPr>
        <w:t>（如果有）；</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2.2.5符合性审查资料；</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2.2.6评标标准相应的商务技术资料；</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2.2.7商务技术偏离表；</w:t>
      </w:r>
    </w:p>
    <w:p>
      <w:pPr>
        <w:snapToGrid w:val="0"/>
        <w:spacing w:line="360" w:lineRule="auto"/>
        <w:ind w:left="420" w:leftChars="200"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8</w:t>
      </w:r>
      <w:r>
        <w:rPr>
          <w:rFonts w:hint="eastAsia" w:ascii="仿宋" w:hAnsi="仿宋" w:eastAsia="仿宋"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3报价文件</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2.3.1开标一览表（报价表）；</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2.3.2中小企业声明函</w:t>
      </w:r>
      <w:r>
        <w:rPr>
          <w:rFonts w:hint="eastAsia" w:ascii="仿宋" w:hAnsi="仿宋" w:eastAsia="仿宋" w:cs="仿宋_GB2312"/>
          <w:color w:val="auto"/>
          <w:sz w:val="24"/>
          <w:highlight w:val="none"/>
        </w:rPr>
        <w:t>（如果有）；</w:t>
      </w:r>
    </w:p>
    <w:p>
      <w:pPr>
        <w:snapToGrid w:val="0"/>
        <w:spacing w:line="360" w:lineRule="auto"/>
        <w:ind w:left="420" w:leftChars="2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2.3.2</w:t>
      </w:r>
      <w:r>
        <w:rPr>
          <w:rFonts w:hint="eastAsia" w:ascii="仿宋" w:hAnsi="仿宋" w:eastAsia="仿宋" w:cs="仿宋_GB2312"/>
          <w:color w:val="auto"/>
          <w:sz w:val="24"/>
          <w:highlight w:val="none"/>
        </w:rPr>
        <w:t>代理服务费支付承诺书。</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3</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我方承诺除商务技术偏离表列出的偏离外，我方响应招标文件的全部要求。</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4</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如我方中标，我方承诺：</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5</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其他补充说明:</w:t>
      </w:r>
      <w:r>
        <w:rPr>
          <w:rFonts w:hint="eastAsia" w:ascii="仿宋" w:hAnsi="仿宋" w:eastAsia="仿宋" w:cs="仿宋_GB2312"/>
          <w:color w:val="auto"/>
          <w:sz w:val="24"/>
          <w:highlight w:val="none"/>
        </w:rPr>
        <w:t>。</w:t>
      </w:r>
    </w:p>
    <w:p>
      <w:pPr>
        <w:spacing w:line="360" w:lineRule="auto"/>
        <w:ind w:firstLine="3600" w:firstLineChars="1500"/>
        <w:rPr>
          <w:rFonts w:ascii="仿宋" w:hAnsi="仿宋" w:eastAsia="仿宋" w:cs="仿宋_GB2312"/>
          <w:color w:val="auto"/>
          <w:sz w:val="24"/>
          <w:highlight w:val="none"/>
        </w:rPr>
      </w:pPr>
      <w:r>
        <w:rPr>
          <w:rFonts w:hint="eastAsia" w:ascii="仿宋" w:hAnsi="仿宋" w:eastAsia="仿宋" w:cs="仿宋_GB2312"/>
          <w:color w:val="auto"/>
          <w:sz w:val="24"/>
          <w:highlight w:val="none"/>
        </w:rPr>
        <w:t>投标人名称（电子签名）：</w:t>
      </w:r>
    </w:p>
    <w:p>
      <w:pPr>
        <w:spacing w:line="360" w:lineRule="auto"/>
        <w:jc w:val="center"/>
        <w:rPr>
          <w:rFonts w:ascii="仿宋_GB2312" w:hAnsi="仿宋" w:eastAsia="仿宋_GB2312" w:cs="仿宋_GB2312"/>
          <w:color w:val="auto"/>
          <w:sz w:val="24"/>
          <w:highlight w:val="none"/>
        </w:rPr>
      </w:pPr>
      <w:r>
        <w:rPr>
          <w:rFonts w:ascii="仿宋" w:hAnsi="仿宋" w:eastAsia="仿宋"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widowControl/>
        <w:adjustRightInd/>
        <w:jc w:val="left"/>
        <w:rPr>
          <w:rFonts w:ascii="仿宋" w:hAnsi="仿宋" w:eastAsia="仿宋" w:cs="仿宋_GB2312"/>
          <w:b/>
          <w:color w:val="auto"/>
          <w:kern w:val="0"/>
          <w:sz w:val="32"/>
          <w:szCs w:val="32"/>
          <w:highlight w:val="none"/>
          <w:lang w:val="zh-CN"/>
        </w:rPr>
      </w:pPr>
      <w:r>
        <w:rPr>
          <w:rFonts w:ascii="仿宋" w:hAnsi="仿宋" w:eastAsia="仿宋" w:cs="仿宋_GB2312"/>
          <w:b/>
          <w:color w:val="auto"/>
          <w:kern w:val="0"/>
          <w:sz w:val="32"/>
          <w:szCs w:val="32"/>
          <w:highlight w:val="none"/>
          <w:lang w:val="zh-CN"/>
        </w:rPr>
        <w:br w:type="page"/>
      </w:r>
    </w:p>
    <w:p>
      <w:pPr>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_GB2312"/>
          <w:color w:val="auto"/>
          <w:sz w:val="24"/>
          <w:highlight w:val="none"/>
        </w:rPr>
      </w:pPr>
    </w:p>
    <w:p>
      <w:pPr>
        <w:snapToGrid w:val="0"/>
        <w:spacing w:line="360" w:lineRule="auto"/>
        <w:ind w:firstLine="2872" w:firstLineChars="894"/>
        <w:rPr>
          <w:rFonts w:ascii="仿宋" w:hAnsi="仿宋" w:eastAsia="仿宋"/>
          <w:color w:val="auto"/>
          <w:highlight w:val="none"/>
        </w:rPr>
      </w:pPr>
      <w:r>
        <w:rPr>
          <w:rFonts w:hint="eastAsia" w:ascii="仿宋" w:hAnsi="仿宋" w:eastAsia="仿宋" w:cs="仿宋_GB2312"/>
          <w:b/>
          <w:color w:val="auto"/>
          <w:kern w:val="0"/>
          <w:sz w:val="32"/>
          <w:szCs w:val="32"/>
          <w:highlight w:val="none"/>
          <w:lang w:val="zh-CN"/>
        </w:rPr>
        <w:t>授权委托书（适用于非联合体投标）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（采购人）、（采购代理机构）</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委托（姓名）为我方代理人（身份证号码：，手机：），以我方名义处理</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自年月日起至年月日止。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签发日期：  年  月   日</w:t>
      </w: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sz w:val="24"/>
          <w:highlight w:val="none"/>
        </w:rPr>
      </w:pP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lang w:val="zh-CN"/>
        </w:rPr>
        <w:t>授权委托书（适用于联合体投标）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（采购人）、（采购代理机构）</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委托（姓名）为我方代理人（身份证号码：，手机：），以我方名义处理</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自年月日起至年月日止。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特此告知。</w:t>
      </w: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rPr>
          <w:rFonts w:ascii="仿宋" w:hAnsi="仿宋" w:eastAsia="仿宋"/>
          <w:color w:val="auto"/>
          <w:highlight w:val="none"/>
        </w:rPr>
      </w:pP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widowControl/>
        <w:adjustRightInd/>
        <w:jc w:val="left"/>
        <w:rPr>
          <w:rFonts w:ascii="仿宋" w:hAnsi="仿宋" w:eastAsia="仿宋" w:cs="仿宋_GB2312"/>
          <w:b/>
          <w:color w:val="auto"/>
          <w:kern w:val="0"/>
          <w:sz w:val="32"/>
          <w:szCs w:val="32"/>
          <w:highlight w:val="none"/>
          <w:lang w:val="zh-CN"/>
        </w:rPr>
      </w:pPr>
      <w:r>
        <w:rPr>
          <w:rFonts w:ascii="仿宋" w:hAnsi="仿宋" w:eastAsia="仿宋" w:cs="仿宋_GB2312"/>
          <w:b/>
          <w:color w:val="auto"/>
          <w:kern w:val="0"/>
          <w:sz w:val="32"/>
          <w:szCs w:val="32"/>
          <w:highlight w:val="none"/>
          <w:lang w:val="zh-CN"/>
        </w:rPr>
        <w:br w:type="page"/>
      </w:r>
    </w:p>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kern w:val="0"/>
          <w:sz w:val="32"/>
          <w:szCs w:val="32"/>
          <w:highlight w:val="none"/>
          <w:lang w:val="zh-CN"/>
        </w:rPr>
        <w:t>法定代表人、单位负责人或自然人本人</w:t>
      </w:r>
      <w:r>
        <w:rPr>
          <w:rFonts w:hint="eastAsia" w:ascii="仿宋" w:hAnsi="仿宋" w:eastAsia="仿宋" w:cs="仿宋_GB2312"/>
          <w:b/>
          <w:color w:val="auto"/>
          <w:sz w:val="30"/>
          <w:szCs w:val="30"/>
          <w:highlight w:val="none"/>
        </w:rPr>
        <w:t>的身份证明（适用于法定代表人、单位负责人或者自然人本人代表投标人参加投标）</w:t>
      </w:r>
    </w:p>
    <w:p>
      <w:pPr>
        <w:pStyle w:val="148"/>
        <w:spacing w:line="360" w:lineRule="auto"/>
        <w:rPr>
          <w:rFonts w:ascii="仿宋_GB2312" w:hAnsi="仿宋" w:eastAsia="仿宋_GB2312"/>
          <w:bCs/>
          <w:color w:val="auto"/>
          <w:sz w:val="24"/>
          <w:highlight w:val="none"/>
        </w:rPr>
      </w:pPr>
      <w:r>
        <w:rPr>
          <w:rFonts w:hint="eastAsia" w:ascii="仿宋" w:hAnsi="仿宋" w:eastAsia="仿宋"/>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正面：反面：</w:t>
            </w:r>
          </w:p>
          <w:p>
            <w:pPr>
              <w:pStyle w:val="148"/>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p>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投标人名称(电子签名)：                              </w:t>
      </w:r>
    </w:p>
    <w:p>
      <w:pPr>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rPr>
        <w:t>三、</w:t>
      </w:r>
      <w:r>
        <w:rPr>
          <w:rFonts w:hint="eastAsia" w:ascii="仿宋" w:hAnsi="仿宋" w:eastAsia="仿宋" w:cs="仿宋_GB2312"/>
          <w:b/>
          <w:color w:val="auto"/>
          <w:kern w:val="0"/>
          <w:sz w:val="32"/>
          <w:szCs w:val="32"/>
          <w:highlight w:val="none"/>
          <w:lang w:val="zh-CN"/>
        </w:rPr>
        <w:t>联合协议</w:t>
      </w:r>
    </w:p>
    <w:p>
      <w:pPr>
        <w:widowControl/>
        <w:spacing w:line="360" w:lineRule="auto"/>
        <w:ind w:firstLine="482" w:firstLineChars="200"/>
        <w:jc w:val="left"/>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（联合体所有成员名称）</w:t>
      </w:r>
      <w:r>
        <w:rPr>
          <w:rFonts w:hint="eastAsia" w:ascii="仿宋" w:hAnsi="仿宋" w:eastAsia="仿宋" w:cs="仿宋_GB2312"/>
          <w:color w:val="auto"/>
          <w:kern w:val="0"/>
          <w:sz w:val="24"/>
          <w:highlight w:val="none"/>
        </w:rPr>
        <w:t>自愿</w:t>
      </w:r>
      <w:r>
        <w:rPr>
          <w:rFonts w:hint="eastAsia" w:ascii="仿宋" w:hAnsi="仿宋" w:eastAsia="仿宋" w:cs="仿宋_GB2312"/>
          <w:color w:val="auto"/>
          <w:kern w:val="0"/>
          <w:sz w:val="24"/>
          <w:highlight w:val="none"/>
          <w:lang w:val="zh-CN"/>
        </w:rPr>
        <w:t>组成一个联合体，以一个投标人的身份</w:t>
      </w:r>
      <w:r>
        <w:rPr>
          <w:rFonts w:hint="eastAsia" w:ascii="仿宋" w:hAnsi="仿宋" w:eastAsia="仿宋" w:cs="仿宋_GB2312"/>
          <w:color w:val="auto"/>
          <w:kern w:val="0"/>
          <w:sz w:val="24"/>
          <w:highlight w:val="none"/>
        </w:rPr>
        <w:t>参加</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投标。</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一、各方一致决定，</w:t>
      </w:r>
      <w:r>
        <w:rPr>
          <w:rFonts w:hint="eastAsia" w:ascii="仿宋" w:hAnsi="仿宋" w:eastAsia="仿宋" w:cs="仿宋_GB2312"/>
          <w:color w:val="auto"/>
          <w:kern w:val="0"/>
          <w:sz w:val="24"/>
          <w:highlight w:val="none"/>
          <w:u w:val="single"/>
        </w:rPr>
        <w:t>（某联合体成员名称）</w:t>
      </w:r>
      <w:r>
        <w:rPr>
          <w:rFonts w:hint="eastAsia" w:ascii="仿宋" w:hAnsi="仿宋" w:eastAsia="仿宋" w:cs="仿宋_GB2312"/>
          <w:color w:val="auto"/>
          <w:kern w:val="0"/>
          <w:sz w:val="24"/>
          <w:highlight w:val="none"/>
        </w:rPr>
        <w:t>为联合体</w:t>
      </w:r>
      <w:r>
        <w:rPr>
          <w:rFonts w:hint="eastAsia" w:ascii="仿宋" w:hAnsi="仿宋" w:eastAsia="仿宋" w:cs="仿宋_GB2312"/>
          <w:color w:val="auto"/>
          <w:kern w:val="0"/>
          <w:sz w:val="24"/>
          <w:highlight w:val="none"/>
          <w:lang w:val="zh-CN"/>
        </w:rPr>
        <w:t>牵头人</w:t>
      </w:r>
      <w:r>
        <w:rPr>
          <w:rFonts w:hint="eastAsia" w:ascii="仿宋" w:hAnsi="仿宋" w:eastAsia="仿宋" w:cs="Arial"/>
          <w:color w:val="auto"/>
          <w:sz w:val="24"/>
          <w:highlight w:val="none"/>
        </w:rPr>
        <w:t>，代表所有联合体成员负责投标和合同实施阶段的主办、协调工作</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w:t>
      </w:r>
      <w:r>
        <w:rPr>
          <w:rFonts w:hint="eastAsia" w:ascii="仿宋" w:hAnsi="仿宋" w:eastAsia="仿宋" w:cs="Arial"/>
          <w:color w:val="auto"/>
          <w:sz w:val="24"/>
          <w:highlight w:val="none"/>
        </w:rPr>
        <w:t>所有联合体成员各方签署授权书，授权书载明的</w:t>
      </w:r>
      <w:r>
        <w:rPr>
          <w:rFonts w:hint="eastAsia" w:ascii="仿宋" w:hAnsi="仿宋" w:eastAsia="仿宋"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三、本次联合投标中，分工如下：</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b/>
          <w:color w:val="auto"/>
          <w:kern w:val="0"/>
          <w:sz w:val="24"/>
          <w:highlight w:val="none"/>
          <w:lang w:val="zh-CN"/>
        </w:rPr>
      </w:pPr>
      <w:r>
        <w:rPr>
          <w:rFonts w:hint="eastAsia" w:ascii="仿宋" w:hAnsi="仿宋" w:eastAsia="仿宋" w:cs="仿宋_GB2312"/>
          <w:color w:val="auto"/>
          <w:kern w:val="0"/>
          <w:sz w:val="24"/>
          <w:highlight w:val="none"/>
          <w:lang w:val="zh-CN"/>
        </w:rPr>
        <w:t>四、</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rPr>
        <w:t>提供的全部货物由小微企业制造，其合同份额占到合同总金额</w:t>
      </w:r>
      <w:r>
        <w:rPr>
          <w:rFonts w:ascii="仿宋" w:hAnsi="仿宋" w:eastAsia="仿宋" w:cs="仿宋_GB2312"/>
          <w:color w:val="auto"/>
          <w:kern w:val="0"/>
          <w:sz w:val="24"/>
          <w:highlight w:val="none"/>
        </w:rPr>
        <w:t>%以上；</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_GB2312"/>
          <w:b/>
          <w:color w:val="auto"/>
          <w:kern w:val="0"/>
          <w:sz w:val="24"/>
          <w:highlight w:val="none"/>
          <w:lang w:val="zh-CN"/>
        </w:rPr>
        <w:t xml:space="preserve"> 30%以上</w:t>
      </w:r>
      <w:r>
        <w:rPr>
          <w:rFonts w:hint="eastAsia" w:ascii="仿宋" w:hAnsi="仿宋" w:eastAsia="仿宋" w:cs="仿宋_GB2312"/>
          <w:b/>
          <w:color w:val="auto"/>
          <w:kern w:val="0"/>
          <w:sz w:val="24"/>
          <w:highlight w:val="none"/>
          <w:lang w:val="zh-CN"/>
        </w:rPr>
        <w:t>，对联合体报价给予6</w:t>
      </w:r>
      <w:r>
        <w:rPr>
          <w:rFonts w:ascii="仿宋" w:hAnsi="仿宋" w:eastAsia="仿宋" w:cs="仿宋_GB2312"/>
          <w:b/>
          <w:color w:val="auto"/>
          <w:kern w:val="0"/>
          <w:sz w:val="24"/>
          <w:highlight w:val="none"/>
          <w:lang w:val="zh-CN"/>
        </w:rPr>
        <w:t>%的扣除</w:t>
      </w:r>
      <w:r>
        <w:rPr>
          <w:rFonts w:hint="eastAsia" w:ascii="仿宋" w:hAnsi="仿宋" w:eastAsia="仿宋" w:cs="仿宋_GB2312"/>
          <w:b/>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五、如果中标，</w:t>
      </w:r>
      <w:r>
        <w:rPr>
          <w:rFonts w:hint="eastAsia" w:ascii="仿宋" w:hAnsi="仿宋" w:eastAsia="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六、有关本次联合投标的其他事宜：</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1、联合体各方不再单独参加或者与其</w:t>
      </w:r>
      <w:r>
        <w:rPr>
          <w:rFonts w:hint="eastAsia" w:ascii="仿宋" w:hAnsi="仿宋" w:eastAsia="仿宋"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四、分包意向协议</w:t>
      </w:r>
    </w:p>
    <w:p>
      <w:pPr>
        <w:widowControl/>
        <w:spacing w:line="360" w:lineRule="auto"/>
        <w:ind w:firstLine="120" w:firstLineChars="5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hint="eastAsia" w:ascii="仿宋" w:hAnsi="仿宋" w:eastAsia="仿宋"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_GB2312"/>
          <w:color w:val="auto"/>
          <w:sz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lang w:val="zh-CN"/>
        </w:rPr>
        <w:t>若成为</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的中标供应商，将依法采取分包方式履行合同。</w:t>
      </w: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rPr>
        <w:t>与</w:t>
      </w:r>
      <w:r>
        <w:rPr>
          <w:rFonts w:hint="eastAsia" w:ascii="仿宋" w:hAnsi="仿宋" w:eastAsia="仿宋" w:cs="仿宋_GB2312"/>
          <w:color w:val="auto"/>
          <w:kern w:val="0"/>
          <w:sz w:val="24"/>
          <w:highlight w:val="none"/>
          <w:u w:val="single"/>
        </w:rPr>
        <w:t>（所有分包供应商名称）</w:t>
      </w:r>
      <w:r>
        <w:rPr>
          <w:rFonts w:hint="eastAsia" w:ascii="仿宋" w:hAnsi="仿宋" w:eastAsia="仿宋" w:cs="仿宋_GB2312"/>
          <w:color w:val="auto"/>
          <w:kern w:val="0"/>
          <w:sz w:val="24"/>
          <w:highlight w:val="none"/>
        </w:rPr>
        <w:t>达成分包意向协议</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一、分包标的及数量</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lang w:val="zh-CN"/>
        </w:rPr>
        <w:t>将</w:t>
      </w:r>
      <w:r>
        <w:rPr>
          <w:rFonts w:ascii="仿宋" w:hAnsi="仿宋" w:eastAsia="仿宋"/>
          <w:color w:val="auto"/>
          <w:highlight w:val="none"/>
          <w:u w:val="single"/>
        </w:rPr>
        <w:t xml:space="preserve">   XX工作内容   </w:t>
      </w:r>
      <w:r>
        <w:rPr>
          <w:rFonts w:hint="eastAsia" w:ascii="仿宋" w:hAnsi="仿宋" w:eastAsia="仿宋" w:cs="Arial"/>
          <w:color w:val="auto"/>
          <w:sz w:val="24"/>
          <w:highlight w:val="none"/>
        </w:rPr>
        <w:t>分包给</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具备承</w:t>
      </w:r>
      <w:r>
        <w:rPr>
          <w:rFonts w:hint="eastAsia" w:ascii="仿宋" w:hAnsi="仿宋" w:eastAsia="仿宋" w:cs="仿宋_GB2312"/>
          <w:color w:val="auto"/>
          <w:kern w:val="0"/>
          <w:sz w:val="24"/>
          <w:highlight w:val="none"/>
        </w:rPr>
        <w:t>担</w:t>
      </w:r>
      <w:r>
        <w:rPr>
          <w:rFonts w:ascii="仿宋" w:hAnsi="仿宋" w:eastAsia="仿宋" w:cs="仿宋_GB2312"/>
          <w:color w:val="auto"/>
          <w:kern w:val="0"/>
          <w:sz w:val="24"/>
          <w:highlight w:val="none"/>
          <w:u w:val="single"/>
          <w:lang w:val="zh-CN"/>
        </w:rPr>
        <w:t>XX工作内容</w:t>
      </w:r>
      <w:r>
        <w:rPr>
          <w:rFonts w:hint="eastAsia" w:ascii="仿宋" w:hAnsi="仿宋" w:eastAsia="仿宋" w:cs="仿宋_GB2312"/>
          <w:color w:val="auto"/>
          <w:kern w:val="0"/>
          <w:sz w:val="24"/>
          <w:highlight w:val="none"/>
          <w:lang w:val="zh-CN"/>
        </w:rPr>
        <w:t>相应资质条件且不得再次分包；</w:t>
      </w:r>
    </w:p>
    <w:p>
      <w:pPr>
        <w:pStyle w:val="3"/>
        <w:ind w:left="664" w:leftChars="316" w:firstLine="229" w:firstLineChars="95"/>
        <w:rPr>
          <w:rFonts w:ascii="仿宋" w:eastAsia="仿宋"/>
          <w:color w:val="auto"/>
          <w:highlight w:val="none"/>
        </w:rPr>
      </w:pPr>
      <w:r>
        <w:rPr>
          <w:rFonts w:hint="eastAsia" w:ascii="仿宋" w:eastAsia="仿宋" w:cs="仿宋_GB2312"/>
          <w:color w:val="auto"/>
          <w:kern w:val="0"/>
          <w:sz w:val="24"/>
          <w:szCs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二、分包工作履行期限、地点、方式</w:t>
      </w:r>
    </w:p>
    <w:p>
      <w:pPr>
        <w:snapToGrid w:val="0"/>
        <w:spacing w:line="360" w:lineRule="auto"/>
        <w:ind w:firstLine="576"/>
        <w:rPr>
          <w:rFonts w:ascii="仿宋" w:hAnsi="仿宋" w:eastAsia="仿宋"/>
          <w:color w:val="auto"/>
          <w:highlight w:val="none"/>
          <w:u w:val="single"/>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三、质量</w:t>
      </w:r>
    </w:p>
    <w:p>
      <w:pPr>
        <w:snapToGrid w:val="0"/>
        <w:spacing w:line="360" w:lineRule="auto"/>
        <w:ind w:firstLine="576"/>
        <w:rPr>
          <w:rFonts w:ascii="仿宋" w:hAnsi="仿宋" w:eastAsia="仿宋" w:cs="仿宋_GB2312"/>
          <w:color w:val="auto"/>
          <w:kern w:val="0"/>
          <w:sz w:val="24"/>
          <w:highlight w:val="none"/>
          <w:lang w:val="zh-CN"/>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四、价款或者报酬</w:t>
      </w:r>
    </w:p>
    <w:p>
      <w:pPr>
        <w:snapToGrid w:val="0"/>
        <w:spacing w:line="360" w:lineRule="auto"/>
        <w:ind w:left="573" w:leftChars="273"/>
        <w:rPr>
          <w:rFonts w:ascii="仿宋" w:hAnsi="仿宋" w:eastAsia="仿宋" w:cs="仿宋_GB2312"/>
          <w:color w:val="auto"/>
          <w:kern w:val="0"/>
          <w:sz w:val="24"/>
          <w:highlight w:val="none"/>
          <w:lang w:val="zh-CN"/>
        </w:rPr>
      </w:pPr>
    </w:p>
    <w:p>
      <w:pPr>
        <w:snapToGrid w:val="0"/>
        <w:spacing w:line="360" w:lineRule="auto"/>
        <w:ind w:left="573" w:leftChars="273"/>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五、违约责任</w:t>
      </w:r>
    </w:p>
    <w:p>
      <w:pPr>
        <w:snapToGrid w:val="0"/>
        <w:spacing w:line="360" w:lineRule="auto"/>
        <w:ind w:firstLine="576"/>
        <w:rPr>
          <w:rFonts w:ascii="仿宋" w:hAnsi="仿宋" w:eastAsia="仿宋" w:cs="仿宋_GB2312"/>
          <w:color w:val="auto"/>
          <w:kern w:val="0"/>
          <w:sz w:val="24"/>
          <w:highlight w:val="none"/>
          <w:lang w:val="zh-CN"/>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六、争议解决的办法</w:t>
      </w:r>
    </w:p>
    <w:p>
      <w:pPr>
        <w:snapToGrid w:val="0"/>
        <w:spacing w:line="360" w:lineRule="auto"/>
        <w:ind w:firstLine="576"/>
        <w:rPr>
          <w:rFonts w:ascii="仿宋" w:hAnsi="仿宋" w:eastAsia="仿宋" w:cs="仿宋_GB2312"/>
          <w:color w:val="auto"/>
          <w:kern w:val="0"/>
          <w:sz w:val="24"/>
          <w:highlight w:val="none"/>
          <w:lang w:val="zh-CN"/>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七、其他</w:t>
      </w:r>
    </w:p>
    <w:p>
      <w:pPr>
        <w:snapToGrid w:val="0"/>
        <w:spacing w:line="360" w:lineRule="auto"/>
        <w:ind w:firstLine="576"/>
        <w:rPr>
          <w:rFonts w:ascii="仿宋" w:hAnsi="仿宋" w:eastAsia="仿宋" w:cs="仿宋_GB2312"/>
          <w:b/>
          <w:color w:val="auto"/>
          <w:kern w:val="0"/>
          <w:sz w:val="24"/>
          <w:highlight w:val="none"/>
          <w:lang w:val="zh-CN"/>
        </w:rPr>
      </w:pPr>
      <w:r>
        <w:rPr>
          <w:rFonts w:hint="eastAsia" w:ascii="仿宋" w:hAnsi="仿宋" w:eastAsia="仿宋" w:cs="仿宋_GB2312"/>
          <w:color w:val="auto"/>
          <w:kern w:val="0"/>
          <w:sz w:val="24"/>
          <w:highlight w:val="none"/>
          <w:u w:val="single"/>
        </w:rPr>
        <w:t>（分包供应商名称）提供的货物全部由小微企业制造，</w:t>
      </w:r>
      <w:r>
        <w:rPr>
          <w:rFonts w:hint="eastAsia" w:ascii="仿宋" w:hAnsi="仿宋" w:eastAsia="仿宋" w:cs="仿宋_GB2312"/>
          <w:color w:val="auto"/>
          <w:kern w:val="0"/>
          <w:sz w:val="24"/>
          <w:highlight w:val="none"/>
        </w:rPr>
        <w:t>其合同份额占到合同总金额</w:t>
      </w:r>
      <w:r>
        <w:rPr>
          <w:rFonts w:ascii="仿宋" w:hAnsi="仿宋" w:eastAsia="仿宋" w:cs="仿宋_GB2312"/>
          <w:color w:val="auto"/>
          <w:kern w:val="0"/>
          <w:sz w:val="24"/>
          <w:highlight w:val="none"/>
        </w:rPr>
        <w:t>%以上</w:t>
      </w:r>
      <w:r>
        <w:rPr>
          <w:rFonts w:hint="eastAsia" w:ascii="仿宋" w:hAnsi="仿宋" w:eastAsia="仿宋"/>
          <w:color w:val="auto"/>
          <w:highlight w:val="none"/>
        </w:rPr>
        <w:t>。</w:t>
      </w:r>
      <w:r>
        <w:rPr>
          <w:rFonts w:hint="eastAsia" w:ascii="仿宋" w:hAnsi="仿宋" w:eastAsia="仿宋"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_GB2312"/>
          <w:b/>
          <w:color w:val="auto"/>
          <w:kern w:val="0"/>
          <w:sz w:val="24"/>
          <w:highlight w:val="none"/>
          <w:lang w:val="zh-CN"/>
        </w:rPr>
        <w:t xml:space="preserve"> 30%以上</w:t>
      </w:r>
      <w:r>
        <w:rPr>
          <w:rFonts w:hint="eastAsia" w:ascii="仿宋" w:hAnsi="仿宋" w:eastAsia="仿宋" w:cs="仿宋_GB2312"/>
          <w:b/>
          <w:color w:val="auto"/>
          <w:kern w:val="0"/>
          <w:sz w:val="24"/>
          <w:highlight w:val="none"/>
          <w:lang w:val="zh-CN"/>
        </w:rPr>
        <w:t>的，对大中型企业的报价给予6</w:t>
      </w:r>
      <w:r>
        <w:rPr>
          <w:rFonts w:ascii="仿宋" w:hAnsi="仿宋" w:eastAsia="仿宋" w:cs="仿宋_GB2312"/>
          <w:b/>
          <w:color w:val="auto"/>
          <w:kern w:val="0"/>
          <w:sz w:val="24"/>
          <w:highlight w:val="none"/>
          <w:lang w:val="zh-CN"/>
        </w:rPr>
        <w:t>%的扣除</w:t>
      </w:r>
      <w:r>
        <w:rPr>
          <w:rFonts w:hint="eastAsia" w:ascii="仿宋" w:hAnsi="仿宋" w:eastAsia="仿宋" w:cs="仿宋_GB2312"/>
          <w:b/>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ind w:firstLine="5640" w:firstLineChars="23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分包供应商名称：</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widowControl/>
        <w:adjustRightInd/>
        <w:jc w:val="center"/>
        <w:rPr>
          <w:rFonts w:ascii="仿宋" w:hAnsi="仿宋" w:eastAsia="仿宋"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r>
        <w:rPr>
          <w:rFonts w:hint="eastAsia" w:ascii="仿宋" w:hAnsi="仿宋" w:eastAsia="仿宋" w:cs="仿宋_GB2312"/>
          <w:b/>
          <w:color w:val="auto"/>
          <w:kern w:val="0"/>
          <w:sz w:val="32"/>
          <w:szCs w:val="32"/>
          <w:highlight w:val="none"/>
        </w:rPr>
        <w:t>五、符合性审查资料</w:t>
      </w:r>
    </w:p>
    <w:p>
      <w:pPr>
        <w:jc w:val="center"/>
        <w:rPr>
          <w:rFonts w:ascii="仿宋" w:hAnsi="仿宋" w:eastAsia="仿宋" w:cs="仿宋_GB2312"/>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1</w:t>
            </w:r>
          </w:p>
        </w:tc>
        <w:tc>
          <w:tcPr>
            <w:tcW w:w="4991" w:type="dxa"/>
          </w:tcPr>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tcPr>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rFonts w:ascii="仿宋" w:hAnsi="仿宋" w:eastAsia="仿宋"/>
                <w:color w:val="auto"/>
                <w:highlight w:val="none"/>
              </w:rPr>
            </w:pPr>
            <w:r>
              <w:rPr>
                <w:rFonts w:hint="eastAsia" w:ascii="仿宋" w:hAnsi="仿宋" w:eastAsia="仿宋" w:cs="仿宋_GB2312"/>
                <w:color w:val="auto"/>
                <w:sz w:val="24"/>
                <w:highlight w:val="none"/>
              </w:rPr>
              <w:t>第</w:t>
            </w:r>
            <w:r>
              <w:rPr>
                <w:rFonts w:hint="eastAsia" w:ascii="仿宋" w:hAnsi="仿宋" w:eastAsia="仿宋" w:cs="仿宋_GB2312"/>
                <w:color w:val="auto"/>
                <w:sz w:val="24"/>
                <w:highlight w:val="none"/>
                <w:u w:val="single"/>
                <w:lang w:val="en-US" w:eastAsia="zh-CN"/>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2</w:t>
            </w:r>
          </w:p>
        </w:tc>
        <w:tc>
          <w:tcPr>
            <w:tcW w:w="4991"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 w:hAnsi="仿宋" w:eastAsia="仿宋" w:cs="仿宋_GB2312"/>
                <w:color w:val="auto"/>
                <w:sz w:val="24"/>
                <w:highlight w:val="none"/>
              </w:rPr>
              <w:t>节能产品认证证书（本项目</w:t>
            </w:r>
            <w:r>
              <w:rPr>
                <w:rFonts w:hint="eastAsia" w:ascii="仿宋" w:hAnsi="仿宋" w:eastAsia="仿宋"/>
                <w:color w:val="auto"/>
                <w:sz w:val="24"/>
                <w:highlight w:val="none"/>
              </w:rPr>
              <w:t>拟采购的产品不属于政府强制采购的节能产品品目清单范围的</w:t>
            </w:r>
            <w:r>
              <w:rPr>
                <w:rFonts w:hint="eastAsia" w:ascii="仿宋" w:hAnsi="仿宋" w:eastAsia="仿宋" w:cs="仿宋_GB2312"/>
                <w:color w:val="auto"/>
                <w:sz w:val="24"/>
                <w:highlight w:val="none"/>
              </w:rPr>
              <w:t>，无需提供）</w:t>
            </w:r>
          </w:p>
        </w:tc>
        <w:tc>
          <w:tcPr>
            <w:tcW w:w="1418" w:type="dxa"/>
          </w:tcPr>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3"/>
              <w:rPr>
                <w:rFonts w:ascii="仿宋" w:eastAsia="仿宋"/>
                <w:color w:val="auto"/>
                <w:highlight w:val="none"/>
                <w:lang w:val="en-US"/>
              </w:rPr>
            </w:pPr>
            <w:r>
              <w:rPr>
                <w:rFonts w:hint="eastAsia" w:ascii="仿宋" w:eastAsia="仿宋" w:cs="仿宋_GB2312"/>
                <w:b w:val="0"/>
                <w:bCs w:val="0"/>
                <w:color w:val="auto"/>
                <w:sz w:val="24"/>
                <w:szCs w:val="24"/>
                <w:highlight w:val="none"/>
                <w:lang w:val="en-US"/>
              </w:rPr>
              <w:t>第</w:t>
            </w:r>
            <w:r>
              <w:rPr>
                <w:rFonts w:hint="eastAsia" w:ascii="仿宋" w:eastAsia="仿宋" w:cs="仿宋_GB2312"/>
                <w:b w:val="0"/>
                <w:bCs w:val="0"/>
                <w:color w:val="auto"/>
                <w:sz w:val="24"/>
                <w:szCs w:val="24"/>
                <w:highlight w:val="none"/>
                <w:u w:val="single"/>
                <w:lang w:val="en-US" w:eastAsia="zh-CN"/>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3</w:t>
            </w:r>
          </w:p>
        </w:tc>
        <w:tc>
          <w:tcPr>
            <w:tcW w:w="4991" w:type="dxa"/>
          </w:tcPr>
          <w:p>
            <w:pPr>
              <w:spacing w:line="360" w:lineRule="auto"/>
              <w:rPr>
                <w:rFonts w:ascii="仿宋" w:hAnsi="仿宋" w:eastAsia="仿宋" w:cs="仿宋_GB2312"/>
                <w:color w:val="auto"/>
                <w:sz w:val="24"/>
                <w:highlight w:val="none"/>
              </w:rPr>
            </w:pPr>
            <w:r>
              <w:rPr>
                <w:rFonts w:hint="eastAsia" w:ascii="仿宋" w:hAnsi="仿宋" w:eastAsia="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tcPr>
          <w:p>
            <w:pPr>
              <w:rPr>
                <w:rFonts w:ascii="仿宋" w:hAnsi="仿宋" w:eastAsia="仿宋"/>
                <w:color w:val="auto"/>
                <w:highlight w:val="none"/>
              </w:rPr>
            </w:pPr>
            <w:r>
              <w:rPr>
                <w:rFonts w:hint="eastAsia" w:ascii="仿宋" w:hAnsi="仿宋" w:eastAsia="仿宋" w:cs="仿宋_GB2312"/>
                <w:color w:val="auto"/>
                <w:sz w:val="24"/>
                <w:highlight w:val="none"/>
              </w:rPr>
              <w:t>见投标文件第</w:t>
            </w:r>
            <w:r>
              <w:rPr>
                <w:rFonts w:hint="eastAsia" w:ascii="仿宋" w:hAnsi="仿宋" w:eastAsia="仿宋" w:cs="仿宋_GB2312"/>
                <w:color w:val="auto"/>
                <w:sz w:val="24"/>
                <w:highlight w:val="none"/>
                <w:u w:val="single"/>
                <w:lang w:val="en-US" w:eastAsia="zh-CN"/>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4</w:t>
            </w:r>
          </w:p>
        </w:tc>
        <w:tc>
          <w:tcPr>
            <w:tcW w:w="4991"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 w:hAnsi="仿宋" w:eastAsia="仿宋" w:cs="仿宋_GB2312"/>
                <w:color w:val="auto"/>
                <w:kern w:val="0"/>
                <w:sz w:val="24"/>
                <w:highlight w:val="none"/>
              </w:rPr>
              <w:t>招标文件其它实质性要求相应的材料（“▲”系指实质性要求条款，招标文件无其它实质性要求的，无需提供）</w:t>
            </w:r>
          </w:p>
        </w:tc>
        <w:tc>
          <w:tcPr>
            <w:tcW w:w="1418" w:type="dxa"/>
          </w:tcPr>
          <w:p>
            <w:pPr>
              <w:rPr>
                <w:rFonts w:ascii="仿宋" w:hAnsi="仿宋" w:eastAsia="仿宋"/>
                <w:color w:val="auto"/>
                <w:highlight w:val="none"/>
              </w:rPr>
            </w:pPr>
            <w:r>
              <w:rPr>
                <w:rFonts w:hint="eastAsia" w:ascii="仿宋" w:hAnsi="仿宋" w:eastAsia="仿宋" w:cs="仿宋_GB2312"/>
                <w:color w:val="auto"/>
                <w:sz w:val="24"/>
                <w:highlight w:val="none"/>
              </w:rPr>
              <w:t>见投标文件第</w:t>
            </w:r>
            <w:r>
              <w:rPr>
                <w:rFonts w:hint="eastAsia" w:ascii="仿宋" w:hAnsi="仿宋" w:eastAsia="仿宋" w:cs="仿宋_GB2312"/>
                <w:color w:val="auto"/>
                <w:sz w:val="24"/>
                <w:highlight w:val="none"/>
                <w:u w:val="single"/>
                <w:lang w:val="en-US" w:eastAsia="zh-CN"/>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widowControl/>
        <w:adjustRightInd/>
        <w:jc w:val="left"/>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br w:type="page"/>
      </w:r>
    </w:p>
    <w:p>
      <w:pPr>
        <w:jc w:val="center"/>
        <w:rPr>
          <w:rFonts w:ascii="仿宋" w:hAnsi="仿宋" w:eastAsia="仿宋"/>
          <w:color w:val="auto"/>
          <w:highlight w:val="none"/>
        </w:rPr>
      </w:pPr>
      <w:r>
        <w:rPr>
          <w:rFonts w:hint="eastAsia" w:ascii="仿宋" w:hAnsi="仿宋" w:eastAsia="仿宋"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 w:hAnsi="仿宋" w:eastAsia="仿宋" w:cs="仿宋_GB2312"/>
          <w:b/>
          <w:color w:val="auto"/>
          <w:sz w:val="24"/>
          <w:highlight w:val="none"/>
        </w:rPr>
        <w:t>（按招标文件第四部分评标办法前附表中“投标文件中评标标准相应的商务技术资料目录”提供资料）</w:t>
      </w:r>
    </w:p>
    <w:p>
      <w:pPr>
        <w:spacing w:line="360" w:lineRule="auto"/>
        <w:rPr>
          <w:rFonts w:hint="eastAsia" w:ascii="仿宋" w:hAnsi="仿宋" w:eastAsia="仿宋"/>
          <w:b/>
          <w:bCs/>
          <w:color w:val="auto"/>
          <w:sz w:val="24"/>
          <w:highlight w:val="none"/>
        </w:rPr>
      </w:pPr>
    </w:p>
    <w:p>
      <w:pPr>
        <w:spacing w:line="360" w:lineRule="auto"/>
        <w:rPr>
          <w:rFonts w:hint="eastAsia" w:ascii="仿宋" w:hAnsi="仿宋" w:eastAsia="仿宋"/>
          <w:b/>
          <w:bCs/>
          <w:color w:val="auto"/>
          <w:sz w:val="24"/>
          <w:highlight w:val="none"/>
        </w:rPr>
      </w:pPr>
      <w:r>
        <w:rPr>
          <w:rFonts w:hint="eastAsia" w:ascii="仿宋" w:hAnsi="仿宋" w:eastAsia="仿宋"/>
          <w:b/>
          <w:bCs/>
          <w:color w:val="auto"/>
          <w:sz w:val="24"/>
          <w:highlight w:val="none"/>
        </w:rPr>
        <w:t>（由投标人根据采购需求自行编制）</w:t>
      </w:r>
    </w:p>
    <w:p>
      <w:pPr>
        <w:pStyle w:val="26"/>
        <w:rPr>
          <w:rFonts w:hint="default" w:eastAsia="仿宋"/>
          <w:color w:val="auto"/>
          <w:highlight w:val="none"/>
          <w:lang w:val="en-US" w:eastAsia="zh-CN"/>
        </w:rPr>
      </w:pPr>
      <w:r>
        <w:rPr>
          <w:rFonts w:hint="eastAsia" w:ascii="仿宋" w:hAnsi="仿宋" w:eastAsia="仿宋"/>
          <w:b/>
          <w:bCs/>
          <w:color w:val="auto"/>
          <w:sz w:val="24"/>
          <w:highlight w:val="none"/>
          <w:lang w:val="en-US" w:eastAsia="zh-CN"/>
        </w:rPr>
        <w:t>标项一：温室气体手工监测及移动监测服务项目</w:t>
      </w:r>
    </w:p>
    <w:p>
      <w:pPr>
        <w:pStyle w:val="966"/>
        <w:numPr>
          <w:ilvl w:val="0"/>
          <w:numId w:val="2"/>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项目总体理解</w:t>
      </w:r>
      <w:r>
        <w:rPr>
          <w:rStyle w:val="965"/>
          <w:rFonts w:ascii="仿宋" w:hAnsi="仿宋" w:eastAsia="仿宋"/>
          <w:color w:val="auto"/>
          <w:sz w:val="24"/>
          <w:highlight w:val="none"/>
        </w:rPr>
        <w:t>……………………………………………………………………页码</w:t>
      </w:r>
    </w:p>
    <w:p>
      <w:pPr>
        <w:pStyle w:val="966"/>
        <w:numPr>
          <w:ilvl w:val="0"/>
          <w:numId w:val="2"/>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lang w:val="en-US" w:eastAsia="zh-CN"/>
        </w:rPr>
        <w:t>项目</w:t>
      </w:r>
      <w:r>
        <w:rPr>
          <w:rStyle w:val="965"/>
          <w:rFonts w:hint="eastAsia" w:ascii="仿宋" w:hAnsi="仿宋" w:eastAsia="仿宋"/>
          <w:color w:val="auto"/>
          <w:sz w:val="24"/>
          <w:highlight w:val="none"/>
        </w:rPr>
        <w:t>服务方案</w:t>
      </w:r>
      <w:r>
        <w:rPr>
          <w:rStyle w:val="965"/>
          <w:rFonts w:ascii="仿宋" w:hAnsi="仿宋" w:eastAsia="仿宋"/>
          <w:color w:val="auto"/>
          <w:sz w:val="24"/>
          <w:highlight w:val="none"/>
        </w:rPr>
        <w:t>……………………………………………………………………页码</w:t>
      </w:r>
    </w:p>
    <w:p>
      <w:pPr>
        <w:pStyle w:val="966"/>
        <w:numPr>
          <w:ilvl w:val="0"/>
          <w:numId w:val="2"/>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项目组成员情况</w:t>
      </w:r>
      <w:r>
        <w:rPr>
          <w:rStyle w:val="965"/>
          <w:rFonts w:ascii="仿宋" w:hAnsi="仿宋" w:eastAsia="仿宋"/>
          <w:color w:val="auto"/>
          <w:sz w:val="24"/>
          <w:highlight w:val="none"/>
        </w:rPr>
        <w:t>…………………………………………………………………页码</w:t>
      </w:r>
    </w:p>
    <w:p>
      <w:pPr>
        <w:pStyle w:val="966"/>
        <w:numPr>
          <w:ilvl w:val="0"/>
          <w:numId w:val="2"/>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分析检测能力</w:t>
      </w:r>
      <w:r>
        <w:rPr>
          <w:rStyle w:val="965"/>
          <w:rFonts w:ascii="仿宋" w:hAnsi="仿宋" w:eastAsia="仿宋"/>
          <w:color w:val="auto"/>
          <w:sz w:val="24"/>
          <w:highlight w:val="none"/>
        </w:rPr>
        <w:t>……………………………………………………………………页码</w:t>
      </w:r>
    </w:p>
    <w:p>
      <w:pPr>
        <w:pStyle w:val="966"/>
        <w:numPr>
          <w:ilvl w:val="0"/>
          <w:numId w:val="2"/>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实验室仪器设备</w:t>
      </w:r>
      <w:r>
        <w:rPr>
          <w:rStyle w:val="965"/>
          <w:rFonts w:ascii="仿宋" w:hAnsi="仿宋" w:eastAsia="仿宋"/>
          <w:color w:val="auto"/>
          <w:sz w:val="24"/>
          <w:highlight w:val="none"/>
        </w:rPr>
        <w:t>…………………………………………………………………页码</w:t>
      </w:r>
    </w:p>
    <w:p>
      <w:pPr>
        <w:pStyle w:val="966"/>
        <w:numPr>
          <w:ilvl w:val="0"/>
          <w:numId w:val="2"/>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走航监测车辆及仪器情况</w:t>
      </w:r>
      <w:r>
        <w:rPr>
          <w:rStyle w:val="965"/>
          <w:rFonts w:ascii="仿宋" w:hAnsi="仿宋" w:eastAsia="仿宋"/>
          <w:color w:val="auto"/>
          <w:sz w:val="24"/>
          <w:highlight w:val="none"/>
        </w:rPr>
        <w:t>………………………………………………………页码</w:t>
      </w:r>
    </w:p>
    <w:p>
      <w:pPr>
        <w:pStyle w:val="966"/>
        <w:numPr>
          <w:ilvl w:val="0"/>
          <w:numId w:val="2"/>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无人机要求</w:t>
      </w:r>
      <w:r>
        <w:rPr>
          <w:rStyle w:val="965"/>
          <w:rFonts w:ascii="仿宋" w:hAnsi="仿宋" w:eastAsia="仿宋"/>
          <w:color w:val="auto"/>
          <w:sz w:val="24"/>
          <w:highlight w:val="none"/>
        </w:rPr>
        <w:t>………………………………………………………………………页码</w:t>
      </w:r>
    </w:p>
    <w:p>
      <w:pPr>
        <w:pStyle w:val="966"/>
        <w:numPr>
          <w:ilvl w:val="0"/>
          <w:numId w:val="2"/>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车辆配置情况</w:t>
      </w:r>
      <w:r>
        <w:rPr>
          <w:rStyle w:val="965"/>
          <w:rFonts w:ascii="仿宋" w:hAnsi="仿宋" w:eastAsia="仿宋"/>
          <w:color w:val="auto"/>
          <w:sz w:val="24"/>
          <w:highlight w:val="none"/>
        </w:rPr>
        <w:t>……………………………………………………………………页码</w:t>
      </w:r>
    </w:p>
    <w:p>
      <w:pPr>
        <w:pStyle w:val="966"/>
        <w:numPr>
          <w:ilvl w:val="0"/>
          <w:numId w:val="2"/>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合理化建议</w:t>
      </w:r>
      <w:r>
        <w:rPr>
          <w:rStyle w:val="965"/>
          <w:rFonts w:ascii="仿宋" w:hAnsi="仿宋" w:eastAsia="仿宋"/>
          <w:color w:val="auto"/>
          <w:sz w:val="24"/>
          <w:highlight w:val="none"/>
        </w:rPr>
        <w:t>………………………………………………………………………页码</w:t>
      </w:r>
    </w:p>
    <w:p>
      <w:pPr>
        <w:jc w:val="center"/>
        <w:rPr>
          <w:rFonts w:ascii="仿宋_GB2312" w:hAnsi="仿宋" w:eastAsia="仿宋_GB2312" w:cs="仿宋_GB2312"/>
          <w:b/>
          <w:color w:val="auto"/>
          <w:kern w:val="0"/>
          <w:sz w:val="32"/>
          <w:szCs w:val="32"/>
          <w:highlight w:val="none"/>
        </w:rPr>
      </w:pPr>
    </w:p>
    <w:p>
      <w:pPr>
        <w:pStyle w:val="26"/>
        <w:rPr>
          <w:rFonts w:hint="default" w:eastAsia="仿宋"/>
          <w:color w:val="auto"/>
          <w:highlight w:val="none"/>
          <w:lang w:val="en-US" w:eastAsia="zh-CN"/>
        </w:rPr>
      </w:pPr>
      <w:r>
        <w:rPr>
          <w:rFonts w:hint="eastAsia" w:ascii="仿宋" w:hAnsi="仿宋" w:eastAsia="仿宋"/>
          <w:b/>
          <w:bCs/>
          <w:color w:val="auto"/>
          <w:sz w:val="24"/>
          <w:highlight w:val="none"/>
          <w:lang w:val="en-US" w:eastAsia="zh-CN"/>
        </w:rPr>
        <w:t>标项二：杭州市温室气体同化反演及通量核算服务</w:t>
      </w:r>
    </w:p>
    <w:p>
      <w:pPr>
        <w:pStyle w:val="966"/>
        <w:numPr>
          <w:ilvl w:val="0"/>
          <w:numId w:val="3"/>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lang w:val="en-US" w:eastAsia="zh-CN"/>
        </w:rPr>
        <w:t>主要业绩证明</w:t>
      </w:r>
      <w:r>
        <w:rPr>
          <w:rStyle w:val="965"/>
          <w:rFonts w:ascii="仿宋" w:hAnsi="仿宋" w:eastAsia="仿宋"/>
          <w:color w:val="auto"/>
          <w:sz w:val="24"/>
          <w:highlight w:val="none"/>
        </w:rPr>
        <w:t>……………………………………………………………………页码</w:t>
      </w:r>
    </w:p>
    <w:p>
      <w:pPr>
        <w:pStyle w:val="966"/>
        <w:numPr>
          <w:ilvl w:val="0"/>
          <w:numId w:val="3"/>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技术指标条款响应情况</w:t>
      </w:r>
      <w:r>
        <w:rPr>
          <w:rStyle w:val="965"/>
          <w:rFonts w:ascii="仿宋" w:hAnsi="仿宋" w:eastAsia="仿宋"/>
          <w:color w:val="auto"/>
          <w:sz w:val="24"/>
          <w:highlight w:val="none"/>
        </w:rPr>
        <w:t>…………………………………………………………页码</w:t>
      </w:r>
    </w:p>
    <w:p>
      <w:pPr>
        <w:pStyle w:val="966"/>
        <w:numPr>
          <w:ilvl w:val="0"/>
          <w:numId w:val="3"/>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项目技术方案</w:t>
      </w:r>
      <w:r>
        <w:rPr>
          <w:rStyle w:val="965"/>
          <w:rFonts w:ascii="仿宋" w:hAnsi="仿宋" w:eastAsia="仿宋"/>
          <w:color w:val="auto"/>
          <w:sz w:val="24"/>
          <w:highlight w:val="none"/>
        </w:rPr>
        <w:t>……………………………………………………………………页码</w:t>
      </w:r>
    </w:p>
    <w:p>
      <w:pPr>
        <w:pStyle w:val="966"/>
        <w:numPr>
          <w:ilvl w:val="0"/>
          <w:numId w:val="3"/>
        </w:numPr>
        <w:snapToGrid w:val="0"/>
        <w:ind w:left="210" w:leftChars="0" w:firstLineChars="0"/>
        <w:jc w:val="left"/>
        <w:rPr>
          <w:rStyle w:val="965"/>
          <w:rFonts w:ascii="仿宋" w:hAnsi="仿宋" w:eastAsia="仿宋"/>
          <w:color w:val="auto"/>
          <w:sz w:val="24"/>
          <w:highlight w:val="none"/>
        </w:rPr>
      </w:pPr>
      <w:r>
        <w:rPr>
          <w:rFonts w:hint="eastAsia" w:ascii="仿宋" w:hAnsi="仿宋" w:eastAsia="仿宋" w:cs="仿宋"/>
          <w:bCs/>
          <w:color w:val="auto"/>
          <w:sz w:val="24"/>
          <w:highlight w:val="none"/>
        </w:rPr>
        <w:t>组织实施方案</w:t>
      </w:r>
      <w:r>
        <w:rPr>
          <w:rStyle w:val="965"/>
          <w:rFonts w:ascii="仿宋" w:hAnsi="仿宋" w:eastAsia="仿宋"/>
          <w:color w:val="auto"/>
          <w:sz w:val="24"/>
          <w:highlight w:val="none"/>
        </w:rPr>
        <w:t>……………………………………………………………………页码</w:t>
      </w:r>
    </w:p>
    <w:p>
      <w:pPr>
        <w:pStyle w:val="966"/>
        <w:numPr>
          <w:ilvl w:val="0"/>
          <w:numId w:val="3"/>
        </w:numPr>
        <w:snapToGrid w:val="0"/>
        <w:ind w:left="210" w:leftChars="0" w:firstLineChars="0"/>
        <w:jc w:val="left"/>
        <w:rPr>
          <w:rStyle w:val="965"/>
          <w:rFonts w:ascii="仿宋" w:hAnsi="仿宋" w:eastAsia="仿宋"/>
          <w:color w:val="auto"/>
          <w:sz w:val="24"/>
          <w:highlight w:val="none"/>
        </w:rPr>
      </w:pPr>
      <w:r>
        <w:rPr>
          <w:rFonts w:hint="eastAsia" w:ascii="仿宋" w:hAnsi="仿宋" w:eastAsia="仿宋" w:cs="仿宋"/>
          <w:bCs/>
          <w:color w:val="auto"/>
          <w:sz w:val="24"/>
          <w:highlight w:val="none"/>
        </w:rPr>
        <w:t>成果报告大纲及框架</w:t>
      </w:r>
      <w:r>
        <w:rPr>
          <w:rStyle w:val="965"/>
          <w:rFonts w:ascii="仿宋" w:hAnsi="仿宋" w:eastAsia="仿宋"/>
          <w:color w:val="auto"/>
          <w:sz w:val="24"/>
          <w:highlight w:val="none"/>
        </w:rPr>
        <w:t>……………………………………………………………页码</w:t>
      </w:r>
    </w:p>
    <w:p>
      <w:pPr>
        <w:pStyle w:val="966"/>
        <w:numPr>
          <w:ilvl w:val="0"/>
          <w:numId w:val="3"/>
        </w:numPr>
        <w:snapToGrid w:val="0"/>
        <w:ind w:left="210" w:leftChars="0" w:firstLineChars="0"/>
        <w:jc w:val="left"/>
        <w:rPr>
          <w:rStyle w:val="965"/>
          <w:rFonts w:ascii="仿宋" w:hAnsi="仿宋" w:eastAsia="仿宋"/>
          <w:color w:val="auto"/>
          <w:sz w:val="24"/>
          <w:highlight w:val="none"/>
        </w:rPr>
      </w:pPr>
      <w:r>
        <w:rPr>
          <w:rFonts w:hint="eastAsia" w:ascii="仿宋" w:hAnsi="仿宋" w:eastAsia="仿宋" w:cs="仿宋"/>
          <w:bCs/>
          <w:color w:val="auto"/>
          <w:sz w:val="24"/>
          <w:highlight w:val="none"/>
        </w:rPr>
        <w:t>项目团队</w:t>
      </w:r>
      <w:r>
        <w:rPr>
          <w:rStyle w:val="965"/>
          <w:rFonts w:ascii="仿宋" w:hAnsi="仿宋" w:eastAsia="仿宋"/>
          <w:color w:val="auto"/>
          <w:sz w:val="24"/>
          <w:highlight w:val="none"/>
        </w:rPr>
        <w:t>…………………………………………………………………………页码</w:t>
      </w:r>
    </w:p>
    <w:p>
      <w:pPr>
        <w:pStyle w:val="966"/>
        <w:numPr>
          <w:ilvl w:val="0"/>
          <w:numId w:val="3"/>
        </w:numPr>
        <w:snapToGrid w:val="0"/>
        <w:ind w:left="210" w:leftChars="0" w:firstLineChars="0"/>
        <w:jc w:val="left"/>
        <w:rPr>
          <w:rStyle w:val="965"/>
          <w:rFonts w:ascii="仿宋" w:hAnsi="仿宋" w:eastAsia="仿宋"/>
          <w:color w:val="auto"/>
          <w:sz w:val="24"/>
          <w:highlight w:val="none"/>
        </w:rPr>
      </w:pPr>
      <w:r>
        <w:rPr>
          <w:rFonts w:hint="eastAsia" w:ascii="仿宋" w:hAnsi="仿宋" w:eastAsia="仿宋" w:cs="仿宋"/>
          <w:bCs/>
          <w:color w:val="auto"/>
          <w:kern w:val="0"/>
          <w:sz w:val="24"/>
          <w:highlight w:val="none"/>
        </w:rPr>
        <w:t>售后服务</w:t>
      </w:r>
      <w:r>
        <w:rPr>
          <w:rFonts w:hint="eastAsia" w:ascii="仿宋" w:hAnsi="仿宋" w:eastAsia="仿宋" w:cs="仿宋"/>
          <w:bCs/>
          <w:color w:val="auto"/>
          <w:kern w:val="0"/>
          <w:sz w:val="24"/>
          <w:highlight w:val="none"/>
          <w:lang w:val="en-US" w:eastAsia="zh-CN"/>
        </w:rPr>
        <w:t>方案</w:t>
      </w:r>
      <w:r>
        <w:rPr>
          <w:rStyle w:val="965"/>
          <w:rFonts w:ascii="仿宋" w:hAnsi="仿宋" w:eastAsia="仿宋"/>
          <w:color w:val="auto"/>
          <w:sz w:val="24"/>
          <w:highlight w:val="none"/>
        </w:rPr>
        <w:t>……………………………………………………………………页码</w:t>
      </w:r>
    </w:p>
    <w:p>
      <w:pPr>
        <w:pStyle w:val="966"/>
        <w:numPr>
          <w:ilvl w:val="0"/>
          <w:numId w:val="3"/>
        </w:numPr>
        <w:snapToGrid w:val="0"/>
        <w:ind w:left="210" w:leftChars="0" w:firstLineChars="0"/>
        <w:jc w:val="left"/>
        <w:rPr>
          <w:rStyle w:val="965"/>
          <w:rFonts w:ascii="仿宋" w:hAnsi="仿宋" w:eastAsia="仿宋"/>
          <w:color w:val="auto"/>
          <w:sz w:val="24"/>
          <w:highlight w:val="none"/>
        </w:rPr>
      </w:pPr>
      <w:r>
        <w:rPr>
          <w:rStyle w:val="965"/>
          <w:rFonts w:hint="eastAsia" w:ascii="仿宋" w:hAnsi="仿宋" w:eastAsia="仿宋"/>
          <w:color w:val="auto"/>
          <w:sz w:val="24"/>
          <w:highlight w:val="none"/>
        </w:rPr>
        <w:t>培训</w:t>
      </w:r>
      <w:r>
        <w:rPr>
          <w:rStyle w:val="965"/>
          <w:rFonts w:hint="eastAsia" w:ascii="仿宋" w:hAnsi="仿宋" w:eastAsia="仿宋"/>
          <w:color w:val="auto"/>
          <w:sz w:val="24"/>
          <w:highlight w:val="none"/>
          <w:lang w:val="en-US" w:eastAsia="zh-CN"/>
        </w:rPr>
        <w:t>方案</w:t>
      </w:r>
      <w:r>
        <w:rPr>
          <w:rStyle w:val="965"/>
          <w:rFonts w:ascii="仿宋" w:hAnsi="仿宋" w:eastAsia="仿宋"/>
          <w:color w:val="auto"/>
          <w:sz w:val="24"/>
          <w:highlight w:val="none"/>
        </w:rPr>
        <w:t>…………………………………………………………………………页码</w:t>
      </w:r>
    </w:p>
    <w:p>
      <w:pPr>
        <w:pStyle w:val="966"/>
        <w:numPr>
          <w:ilvl w:val="0"/>
          <w:numId w:val="3"/>
        </w:numPr>
        <w:snapToGrid w:val="0"/>
        <w:ind w:left="210" w:leftChars="0" w:firstLineChars="0"/>
        <w:jc w:val="left"/>
        <w:rPr>
          <w:rStyle w:val="965"/>
          <w:rFonts w:ascii="仿宋" w:hAnsi="仿宋" w:eastAsia="仿宋"/>
          <w:color w:val="auto"/>
          <w:sz w:val="24"/>
          <w:highlight w:val="none"/>
        </w:rPr>
      </w:pPr>
      <w:r>
        <w:rPr>
          <w:rFonts w:hint="eastAsia" w:ascii="仿宋" w:hAnsi="仿宋" w:eastAsia="仿宋" w:cs="仿宋"/>
          <w:bCs/>
          <w:color w:val="auto"/>
          <w:kern w:val="0"/>
          <w:sz w:val="24"/>
          <w:highlight w:val="none"/>
        </w:rPr>
        <w:t>合理化建议</w:t>
      </w:r>
      <w:r>
        <w:rPr>
          <w:rStyle w:val="965"/>
          <w:rFonts w:ascii="仿宋" w:hAnsi="仿宋" w:eastAsia="仿宋"/>
          <w:color w:val="auto"/>
          <w:sz w:val="24"/>
          <w:highlight w:val="none"/>
        </w:rPr>
        <w:t>………………………………………………………………………页码</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序号</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招标文件章节及具体内容</w:t>
            </w: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投标文件章节及具体内容</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1</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2</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b/>
                <w:color w:val="auto"/>
                <w:kern w:val="0"/>
                <w:sz w:val="32"/>
                <w:szCs w:val="32"/>
                <w:highlight w:val="none"/>
              </w:rPr>
            </w:pPr>
          </w:p>
        </w:tc>
      </w:tr>
    </w:tbl>
    <w:p>
      <w:pPr>
        <w:jc w:val="left"/>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投标人保证：除商务技术偏离表列出的偏离外，投标人响应招标文件的全部要求。</w:t>
      </w: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ind w:firstLine="1911" w:firstLineChars="595"/>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八、</w:t>
      </w:r>
      <w:r>
        <w:rPr>
          <w:rFonts w:hint="eastAsia" w:ascii="仿宋" w:hAnsi="仿宋" w:eastAsia="仿宋" w:cs="仿宋_GB2312"/>
          <w:b/>
          <w:color w:val="auto"/>
          <w:kern w:val="0"/>
          <w:sz w:val="32"/>
          <w:szCs w:val="32"/>
          <w:highlight w:val="none"/>
          <w:lang w:val="zh-CN"/>
        </w:rPr>
        <w:t>政府采购供应商廉洁自律承诺书</w:t>
      </w: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kern w:val="0"/>
          <w:sz w:val="24"/>
          <w:highlight w:val="none"/>
        </w:rPr>
      </w:pPr>
      <w:r>
        <w:rPr>
          <w:rFonts w:hint="eastAsia" w:ascii="仿宋" w:hAnsi="仿宋" w:eastAsia="仿宋"/>
          <w:b/>
          <w:color w:val="auto"/>
          <w:sz w:val="24"/>
          <w:highlight w:val="none"/>
          <w:lang w:eastAsia="zh-CN"/>
        </w:rPr>
        <w:t>浙江省杭州生态环境监测中心</w:t>
      </w:r>
      <w:r>
        <w:rPr>
          <w:rFonts w:hint="eastAsia" w:ascii="仿宋" w:hAnsi="仿宋" w:eastAsia="仿宋" w:cs="仿宋_GB2312"/>
          <w:color w:val="auto"/>
          <w:sz w:val="24"/>
          <w:highlight w:val="none"/>
        </w:rPr>
        <w:t>、</w:t>
      </w:r>
      <w:r>
        <w:rPr>
          <w:rFonts w:hint="eastAsia" w:ascii="仿宋" w:hAnsi="仿宋" w:eastAsia="仿宋"/>
          <w:b/>
          <w:color w:val="auto"/>
          <w:sz w:val="24"/>
          <w:highlight w:val="none"/>
        </w:rPr>
        <w:t>杭州意信招标代理有限公司</w:t>
      </w:r>
      <w:r>
        <w:rPr>
          <w:rFonts w:hint="eastAsia" w:ascii="仿宋" w:hAnsi="仿宋" w:eastAsia="仿宋"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我单位响应你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六、严格遵守《</w:t>
      </w:r>
      <w:r>
        <w:rPr>
          <w:rFonts w:hint="eastAsia" w:ascii="仿宋" w:hAnsi="仿宋" w:eastAsia="仿宋"/>
          <w:color w:val="auto"/>
          <w:sz w:val="24"/>
          <w:highlight w:val="none"/>
          <w:lang w:val="zh-CN"/>
        </w:rPr>
        <w:t>中华人民共和国</w:t>
      </w:r>
      <w:r>
        <w:rPr>
          <w:rFonts w:hint="eastAsia" w:ascii="仿宋" w:hAnsi="仿宋" w:eastAsia="仿宋" w:cs="仿宋_GB2312"/>
          <w:color w:val="auto"/>
          <w:kern w:val="0"/>
          <w:sz w:val="24"/>
          <w:highlight w:val="none"/>
          <w:lang w:val="zh-CN"/>
        </w:rPr>
        <w:t>政府采购法》《</w:t>
      </w:r>
      <w:r>
        <w:rPr>
          <w:rFonts w:hint="eastAsia" w:ascii="仿宋" w:hAnsi="仿宋" w:eastAsia="仿宋"/>
          <w:color w:val="auto"/>
          <w:sz w:val="24"/>
          <w:highlight w:val="none"/>
          <w:lang w:val="zh-CN"/>
        </w:rPr>
        <w:t>中华人民共和国</w:t>
      </w:r>
      <w:r>
        <w:rPr>
          <w:rFonts w:hint="eastAsia" w:ascii="仿宋" w:hAnsi="仿宋" w:eastAsia="仿宋" w:cs="仿宋_GB2312"/>
          <w:color w:val="auto"/>
          <w:kern w:val="0"/>
          <w:sz w:val="24"/>
          <w:highlight w:val="none"/>
          <w:lang w:val="zh-CN"/>
        </w:rPr>
        <w:t>招标投标</w:t>
      </w:r>
    </w:p>
    <w:p>
      <w:pPr>
        <w:autoSpaceDE w:val="0"/>
        <w:autoSpaceDN w:val="0"/>
        <w:spacing w:line="360" w:lineRule="auto"/>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法》</w:t>
      </w:r>
      <w:r>
        <w:rPr>
          <w:rFonts w:hint="eastAsia" w:ascii="仿宋" w:hAnsi="仿宋" w:eastAsia="仿宋"/>
          <w:color w:val="auto"/>
          <w:sz w:val="24"/>
          <w:highlight w:val="none"/>
          <w:lang w:val="zh-CN"/>
        </w:rPr>
        <w:t>《中华人民共和国民法典》</w:t>
      </w:r>
      <w:r>
        <w:rPr>
          <w:rFonts w:hint="eastAsia" w:ascii="仿宋" w:hAnsi="仿宋" w:eastAsia="仿宋" w:cs="仿宋_GB2312"/>
          <w:color w:val="auto"/>
          <w:kern w:val="0"/>
          <w:sz w:val="24"/>
          <w:highlight w:val="none"/>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如违反上述承诺，你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_GB2312"/>
          <w:color w:val="auto"/>
          <w:kern w:val="0"/>
          <w:sz w:val="24"/>
          <w:highlight w:val="none"/>
          <w:lang w:val="zh-CN"/>
        </w:rPr>
      </w:pPr>
    </w:p>
    <w:p>
      <w:pPr>
        <w:autoSpaceDE w:val="0"/>
        <w:autoSpaceDN w:val="0"/>
        <w:spacing w:line="360" w:lineRule="auto"/>
        <w:ind w:left="2"/>
        <w:jc w:val="left"/>
        <w:rPr>
          <w:rFonts w:ascii="仿宋" w:hAnsi="仿宋" w:eastAsia="仿宋" w:cs="仿宋_GB2312"/>
          <w:color w:val="auto"/>
          <w:kern w:val="0"/>
          <w:sz w:val="24"/>
          <w:highlight w:val="none"/>
          <w:lang w:val="zh-CN"/>
        </w:rPr>
      </w:pPr>
    </w:p>
    <w:p>
      <w:pPr>
        <w:autoSpaceDE w:val="0"/>
        <w:autoSpaceDN w:val="0"/>
        <w:spacing w:line="360" w:lineRule="auto"/>
        <w:ind w:left="2"/>
        <w:jc w:val="left"/>
        <w:rPr>
          <w:rFonts w:ascii="仿宋" w:hAnsi="仿宋" w:eastAsia="仿宋"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投标人名称（</w:t>
      </w:r>
      <w:r>
        <w:rPr>
          <w:rFonts w:hint="eastAsia" w:ascii="仿宋" w:hAnsi="仿宋" w:eastAsia="仿宋" w:cs="仿宋_GB2312"/>
          <w:color w:val="auto"/>
          <w:sz w:val="24"/>
          <w:highlight w:val="none"/>
        </w:rPr>
        <w:t>电子签名</w:t>
      </w:r>
      <w:r>
        <w:rPr>
          <w:rFonts w:hint="eastAsia" w:ascii="仿宋" w:hAnsi="仿宋" w:eastAsia="仿宋" w:cs="仿宋_GB2312"/>
          <w:color w:val="auto"/>
          <w:kern w:val="0"/>
          <w:sz w:val="24"/>
          <w:highlight w:val="none"/>
          <w:lang w:val="zh-CN"/>
        </w:rPr>
        <w:t>）：</w:t>
      </w:r>
    </w:p>
    <w:p>
      <w:pPr>
        <w:spacing w:line="360" w:lineRule="auto"/>
        <w:ind w:left="4620" w:leftChars="2200"/>
        <w:rPr>
          <w:color w:val="auto"/>
          <w:sz w:val="24"/>
          <w:highlight w:val="none"/>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报价文件部分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1）开标一览表（报价表）……</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2）中小企业声明函……</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w:t>
      </w:r>
      <w:r>
        <w:rPr>
          <w:rFonts w:hint="eastAsia" w:ascii="仿宋" w:hAnsi="仿宋" w:eastAsia="仿宋" w:cs="仿宋_GB2312"/>
          <w:color w:val="auto"/>
          <w:sz w:val="24"/>
          <w:highlight w:val="none"/>
        </w:rPr>
        <w:t>代理服务费支付承诺书………………………………………………………（页码）</w:t>
      </w:r>
    </w:p>
    <w:p>
      <w:pPr>
        <w:pStyle w:val="3"/>
        <w:rPr>
          <w:color w:val="auto"/>
          <w:highlight w:val="none"/>
          <w:lang w:val="en-US"/>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一、开标一览表（报价表）</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b/>
          <w:color w:val="auto"/>
          <w:sz w:val="24"/>
          <w:highlight w:val="none"/>
          <w:lang w:eastAsia="zh-CN"/>
        </w:rPr>
        <w:t>浙江省杭州生态环境监测中心</w:t>
      </w:r>
      <w:r>
        <w:rPr>
          <w:rFonts w:hint="eastAsia" w:ascii="仿宋" w:hAnsi="仿宋" w:eastAsia="仿宋" w:cs="仿宋_GB2312"/>
          <w:color w:val="auto"/>
          <w:sz w:val="24"/>
          <w:highlight w:val="none"/>
        </w:rPr>
        <w:t>、</w:t>
      </w:r>
      <w:r>
        <w:rPr>
          <w:rFonts w:hint="eastAsia" w:ascii="仿宋" w:hAnsi="仿宋" w:eastAsia="仿宋"/>
          <w:b/>
          <w:color w:val="auto"/>
          <w:sz w:val="24"/>
          <w:highlight w:val="none"/>
        </w:rPr>
        <w:t xml:space="preserve">杭州意信招标代理有限公司 </w:t>
      </w:r>
      <w:r>
        <w:rPr>
          <w:rFonts w:hint="eastAsia" w:ascii="仿宋" w:hAnsi="仿宋" w:eastAsia="仿宋" w:cs="仿宋_GB2312"/>
          <w:color w:val="auto"/>
          <w:kern w:val="0"/>
          <w:sz w:val="24"/>
          <w:highlight w:val="none"/>
          <w:lang w:val="zh-CN"/>
        </w:rPr>
        <w:t>：</w:t>
      </w:r>
    </w:p>
    <w:p>
      <w:pPr>
        <w:snapToGrid w:val="0"/>
        <w:spacing w:line="360" w:lineRule="auto"/>
        <w:ind w:firstLine="482"/>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_GB2312"/>
          <w:color w:val="auto"/>
          <w:sz w:val="24"/>
          <w:highlight w:val="none"/>
        </w:rPr>
        <w:t>（项目名称：</w:t>
      </w:r>
      <w:r>
        <w:rPr>
          <w:rFonts w:hint="eastAsia" w:ascii="仿宋" w:hAnsi="仿宋" w:eastAsia="仿宋" w:cs="仿宋_GB2312"/>
          <w:color w:val="auto"/>
          <w:sz w:val="24"/>
          <w:highlight w:val="none"/>
          <w:u w:val="single"/>
          <w:lang w:val="en-US" w:eastAsia="zh-CN"/>
        </w:rPr>
        <w:t xml:space="preserve">          </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【招标编号：</w:t>
      </w:r>
      <w:r>
        <w:rPr>
          <w:rFonts w:hint="eastAsia" w:ascii="仿宋" w:hAnsi="仿宋" w:eastAsia="仿宋"/>
          <w:color w:val="auto"/>
          <w:sz w:val="24"/>
          <w:highlight w:val="none"/>
          <w:u w:val="single"/>
        </w:rPr>
        <w:t>（采购编号）</w:t>
      </w:r>
      <w:r>
        <w:rPr>
          <w:rFonts w:hint="eastAsia" w:ascii="仿宋" w:hAnsi="仿宋" w:eastAsia="仿宋" w:cs="仿宋_GB2312"/>
          <w:color w:val="auto"/>
          <w:sz w:val="24"/>
          <w:highlight w:val="none"/>
        </w:rPr>
        <w:t>】的实施</w:t>
      </w:r>
      <w:r>
        <w:rPr>
          <w:rFonts w:hint="eastAsia" w:ascii="仿宋" w:hAnsi="仿宋" w:eastAsia="仿宋" w:cs="仿宋_GB2312"/>
          <w:color w:val="auto"/>
          <w:kern w:val="0"/>
          <w:sz w:val="24"/>
          <w:highlight w:val="none"/>
          <w:lang w:val="zh-CN"/>
        </w:rPr>
        <w:t>。</w:t>
      </w:r>
    </w:p>
    <w:p>
      <w:pPr>
        <w:spacing w:line="360" w:lineRule="auto"/>
        <w:jc w:val="center"/>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开标一览表（报价表）</w:t>
      </w:r>
      <w:r>
        <w:rPr>
          <w:rFonts w:ascii="仿宋" w:hAnsi="仿宋" w:eastAsia="仿宋" w:cs="仿宋_GB2312"/>
          <w:b/>
          <w:color w:val="auto"/>
          <w:kern w:val="0"/>
          <w:sz w:val="24"/>
          <w:highlight w:val="none"/>
          <w:lang w:val="zh-CN"/>
        </w:rPr>
        <w:t>(单位均为人民币元)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2013"/>
        <w:gridCol w:w="2948"/>
        <w:gridCol w:w="1134"/>
        <w:gridCol w:w="1418"/>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序号</w:t>
            </w:r>
          </w:p>
        </w:tc>
        <w:tc>
          <w:tcPr>
            <w:tcW w:w="1417"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名称</w:t>
            </w:r>
          </w:p>
        </w:tc>
        <w:tc>
          <w:tcPr>
            <w:tcW w:w="2013" w:type="dxa"/>
          </w:tcPr>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品牌（如果有）</w:t>
            </w:r>
          </w:p>
        </w:tc>
        <w:tc>
          <w:tcPr>
            <w:tcW w:w="2948"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具体服务</w:t>
            </w:r>
          </w:p>
        </w:tc>
        <w:tc>
          <w:tcPr>
            <w:tcW w:w="113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数量</w:t>
            </w:r>
          </w:p>
        </w:tc>
        <w:tc>
          <w:tcPr>
            <w:tcW w:w="1418"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单价</w:t>
            </w:r>
          </w:p>
        </w:tc>
        <w:tc>
          <w:tcPr>
            <w:tcW w:w="198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总价</w:t>
            </w:r>
          </w:p>
        </w:tc>
        <w:tc>
          <w:tcPr>
            <w:tcW w:w="3119" w:type="dxa"/>
            <w:vAlign w:val="center"/>
          </w:tcPr>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服务要求（年限）</w:t>
            </w:r>
          </w:p>
          <w:p>
            <w:pPr>
              <w:spacing w:line="360" w:lineRule="auto"/>
              <w:jc w:val="center"/>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w:t>
            </w:r>
          </w:p>
        </w:tc>
        <w:tc>
          <w:tcPr>
            <w:tcW w:w="2948" w:type="dxa"/>
            <w:vAlign w:val="center"/>
          </w:tcPr>
          <w:p>
            <w:pPr>
              <w:snapToGrid w:val="0"/>
              <w:spacing w:line="360" w:lineRule="auto"/>
              <w:jc w:val="center"/>
              <w:rPr>
                <w:rFonts w:ascii="仿宋" w:hAnsi="仿宋" w:eastAsia="仿宋" w:cs="仿宋_GB2312"/>
                <w:color w:val="auto"/>
                <w:sz w:val="24"/>
                <w:highlight w:val="none"/>
              </w:rPr>
            </w:pPr>
          </w:p>
        </w:tc>
        <w:tc>
          <w:tcPr>
            <w:tcW w:w="1134" w:type="dxa"/>
            <w:vAlign w:val="center"/>
          </w:tcPr>
          <w:p>
            <w:pPr>
              <w:snapToGrid w:val="0"/>
              <w:spacing w:line="360" w:lineRule="auto"/>
              <w:jc w:val="center"/>
              <w:rPr>
                <w:rFonts w:ascii="仿宋" w:hAnsi="仿宋" w:eastAsia="仿宋" w:cs="仿宋_GB2312"/>
                <w:color w:val="auto"/>
                <w:sz w:val="24"/>
                <w:highlight w:val="none"/>
              </w:rPr>
            </w:pPr>
          </w:p>
        </w:tc>
        <w:tc>
          <w:tcPr>
            <w:tcW w:w="1418"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2</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lang w:val="en-US" w:eastAsia="zh-CN"/>
              </w:rPr>
              <w:t>/</w:t>
            </w:r>
          </w:p>
        </w:tc>
        <w:tc>
          <w:tcPr>
            <w:tcW w:w="2948" w:type="dxa"/>
            <w:vAlign w:val="center"/>
          </w:tcPr>
          <w:p>
            <w:pPr>
              <w:snapToGrid w:val="0"/>
              <w:spacing w:line="360" w:lineRule="auto"/>
              <w:jc w:val="center"/>
              <w:rPr>
                <w:rFonts w:ascii="仿宋" w:hAnsi="仿宋" w:eastAsia="仿宋" w:cs="仿宋_GB2312"/>
                <w:color w:val="auto"/>
                <w:sz w:val="24"/>
                <w:highlight w:val="none"/>
              </w:rPr>
            </w:pPr>
          </w:p>
        </w:tc>
        <w:tc>
          <w:tcPr>
            <w:tcW w:w="1134" w:type="dxa"/>
            <w:vAlign w:val="center"/>
          </w:tcPr>
          <w:p>
            <w:pPr>
              <w:snapToGrid w:val="0"/>
              <w:spacing w:line="360" w:lineRule="auto"/>
              <w:jc w:val="center"/>
              <w:rPr>
                <w:rFonts w:ascii="仿宋" w:hAnsi="仿宋" w:eastAsia="仿宋" w:cs="仿宋_GB2312"/>
                <w:color w:val="auto"/>
                <w:sz w:val="24"/>
                <w:highlight w:val="none"/>
              </w:rPr>
            </w:pPr>
          </w:p>
        </w:tc>
        <w:tc>
          <w:tcPr>
            <w:tcW w:w="1418"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2948" w:type="dxa"/>
            <w:vAlign w:val="center"/>
          </w:tcPr>
          <w:p>
            <w:pPr>
              <w:snapToGrid w:val="0"/>
              <w:spacing w:line="360" w:lineRule="auto"/>
              <w:jc w:val="center"/>
              <w:rPr>
                <w:rFonts w:ascii="仿宋" w:hAnsi="仿宋" w:eastAsia="仿宋" w:cs="仿宋_GB2312"/>
                <w:color w:val="auto"/>
                <w:sz w:val="24"/>
                <w:highlight w:val="none"/>
              </w:rPr>
            </w:pPr>
          </w:p>
        </w:tc>
        <w:tc>
          <w:tcPr>
            <w:tcW w:w="1134" w:type="dxa"/>
            <w:vAlign w:val="center"/>
          </w:tcPr>
          <w:p>
            <w:pPr>
              <w:snapToGrid w:val="0"/>
              <w:spacing w:line="360" w:lineRule="auto"/>
              <w:jc w:val="center"/>
              <w:rPr>
                <w:rFonts w:ascii="仿宋" w:hAnsi="仿宋" w:eastAsia="仿宋" w:cs="仿宋_GB2312"/>
                <w:color w:val="auto"/>
                <w:sz w:val="24"/>
                <w:highlight w:val="none"/>
              </w:rPr>
            </w:pPr>
          </w:p>
        </w:tc>
        <w:tc>
          <w:tcPr>
            <w:tcW w:w="1418"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2948" w:type="dxa"/>
            <w:vAlign w:val="center"/>
          </w:tcPr>
          <w:p>
            <w:pPr>
              <w:snapToGrid w:val="0"/>
              <w:spacing w:line="360" w:lineRule="auto"/>
              <w:jc w:val="center"/>
              <w:rPr>
                <w:rFonts w:ascii="仿宋" w:hAnsi="仿宋" w:eastAsia="仿宋" w:cs="仿宋_GB2312"/>
                <w:color w:val="auto"/>
                <w:sz w:val="24"/>
                <w:highlight w:val="none"/>
              </w:rPr>
            </w:pPr>
          </w:p>
        </w:tc>
        <w:tc>
          <w:tcPr>
            <w:tcW w:w="1134" w:type="dxa"/>
            <w:vAlign w:val="center"/>
          </w:tcPr>
          <w:p>
            <w:pPr>
              <w:snapToGrid w:val="0"/>
              <w:spacing w:line="360" w:lineRule="auto"/>
              <w:jc w:val="center"/>
              <w:rPr>
                <w:rFonts w:ascii="仿宋" w:hAnsi="仿宋" w:eastAsia="仿宋" w:cs="仿宋_GB2312"/>
                <w:color w:val="auto"/>
                <w:sz w:val="24"/>
                <w:highlight w:val="none"/>
              </w:rPr>
            </w:pPr>
          </w:p>
        </w:tc>
        <w:tc>
          <w:tcPr>
            <w:tcW w:w="1418"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2948" w:type="dxa"/>
            <w:vAlign w:val="center"/>
          </w:tcPr>
          <w:p>
            <w:pPr>
              <w:snapToGrid w:val="0"/>
              <w:spacing w:line="360" w:lineRule="auto"/>
              <w:jc w:val="center"/>
              <w:rPr>
                <w:rFonts w:ascii="仿宋" w:hAnsi="仿宋" w:eastAsia="仿宋" w:cs="仿宋_GB2312"/>
                <w:color w:val="auto"/>
                <w:sz w:val="24"/>
                <w:highlight w:val="none"/>
              </w:rPr>
            </w:pPr>
          </w:p>
        </w:tc>
        <w:tc>
          <w:tcPr>
            <w:tcW w:w="1134" w:type="dxa"/>
            <w:vAlign w:val="center"/>
          </w:tcPr>
          <w:p>
            <w:pPr>
              <w:snapToGrid w:val="0"/>
              <w:spacing w:line="360" w:lineRule="auto"/>
              <w:jc w:val="center"/>
              <w:rPr>
                <w:rFonts w:ascii="仿宋" w:hAnsi="仿宋" w:eastAsia="仿宋" w:cs="仿宋_GB2312"/>
                <w:color w:val="auto"/>
                <w:sz w:val="24"/>
                <w:highlight w:val="none"/>
              </w:rPr>
            </w:pPr>
          </w:p>
        </w:tc>
        <w:tc>
          <w:tcPr>
            <w:tcW w:w="1418"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投标报价（小写）</w:t>
            </w:r>
          </w:p>
        </w:tc>
        <w:tc>
          <w:tcPr>
            <w:tcW w:w="7655" w:type="dxa"/>
            <w:gridSpan w:val="4"/>
            <w:vAlign w:val="center"/>
          </w:tcPr>
          <w:p>
            <w:pPr>
              <w:spacing w:line="360" w:lineRule="auto"/>
              <w:jc w:val="center"/>
              <w:rPr>
                <w:rFonts w:ascii="仿宋" w:hAnsi="仿宋" w:eastAsia="仿宋" w:cs="仿宋_GB2312"/>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投标报价（大写）</w:t>
            </w:r>
          </w:p>
        </w:tc>
        <w:tc>
          <w:tcPr>
            <w:tcW w:w="7655" w:type="dxa"/>
            <w:gridSpan w:val="4"/>
            <w:vAlign w:val="center"/>
          </w:tcPr>
          <w:p>
            <w:pPr>
              <w:spacing w:line="360" w:lineRule="auto"/>
              <w:jc w:val="center"/>
              <w:rPr>
                <w:rFonts w:ascii="仿宋" w:hAnsi="仿宋" w:eastAsia="仿宋" w:cs="仿宋_GB2312"/>
                <w:color w:val="auto"/>
                <w:sz w:val="24"/>
                <w:highlight w:val="none"/>
                <w:u w:val="single"/>
              </w:rPr>
            </w:pPr>
          </w:p>
        </w:tc>
      </w:tr>
    </w:tbl>
    <w:p>
      <w:pPr>
        <w:snapToGrid w:val="0"/>
        <w:spacing w:line="360" w:lineRule="auto"/>
        <w:ind w:left="480"/>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注：</w:t>
      </w:r>
    </w:p>
    <w:p>
      <w:pPr>
        <w:spacing w:line="360" w:lineRule="auto"/>
        <w:ind w:left="-2" w:leftChars="-1"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1、投标人需按本表格式填写，不得自行更改。</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2、有关本项目实施所涉及的一切费用均计入报价。</w:t>
      </w:r>
      <w:r>
        <w:rPr>
          <w:rFonts w:hint="eastAsia" w:ascii="仿宋" w:hAnsi="仿宋" w:eastAsia="仿宋"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不得出现“</w:t>
      </w:r>
      <w:r>
        <w:rPr>
          <w:rFonts w:ascii="仿宋" w:hAnsi="仿宋" w:eastAsia="仿宋" w:cs="仿宋_GB2312"/>
          <w:b/>
          <w:color w:val="auto"/>
          <w:kern w:val="0"/>
          <w:sz w:val="24"/>
          <w:highlight w:val="none"/>
          <w:lang w:val="zh-CN"/>
        </w:rPr>
        <w:t>0元”“免费赠送”等形式的无偿报价</w:t>
      </w:r>
      <w:r>
        <w:rPr>
          <w:rFonts w:hint="eastAsia" w:ascii="仿宋" w:hAnsi="仿宋" w:eastAsia="仿宋" w:cs="仿宋_GB2312"/>
          <w:b/>
          <w:color w:val="auto"/>
          <w:kern w:val="0"/>
          <w:sz w:val="24"/>
          <w:highlight w:val="none"/>
          <w:lang w:val="zh-CN"/>
        </w:rPr>
        <w:t>，</w:t>
      </w:r>
      <w:r>
        <w:rPr>
          <w:rFonts w:hint="eastAsia" w:ascii="仿宋" w:hAnsi="仿宋" w:eastAsia="仿宋" w:cs="仿宋_GB2312"/>
          <w:b/>
          <w:color w:val="auto"/>
          <w:kern w:val="0"/>
          <w:sz w:val="24"/>
          <w:highlight w:val="none"/>
        </w:rPr>
        <w:t>否则视为</w:t>
      </w:r>
      <w:r>
        <w:rPr>
          <w:rFonts w:hint="eastAsia" w:ascii="仿宋" w:hAnsi="仿宋" w:eastAsia="仿宋"/>
          <w:b/>
          <w:color w:val="auto"/>
          <w:sz w:val="24"/>
          <w:highlight w:val="none"/>
        </w:rPr>
        <w:t>投标文件含有采购人不能接受的附加条件的，投标无效</w:t>
      </w:r>
      <w:r>
        <w:rPr>
          <w:rFonts w:hint="eastAsia" w:ascii="仿宋" w:hAnsi="仿宋" w:eastAsia="仿宋" w:cs="仿宋_GB2312"/>
          <w:b/>
          <w:color w:val="auto"/>
          <w:kern w:val="0"/>
          <w:sz w:val="24"/>
          <w:highlight w:val="none"/>
          <w:lang w:val="zh-CN"/>
        </w:rPr>
        <w:t>。</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w:t>
      </w:r>
      <w:r>
        <w:rPr>
          <w:rFonts w:ascii="仿宋" w:hAnsi="仿宋" w:eastAsia="仿宋" w:cs="仿宋_GB2312"/>
          <w:b/>
          <w:color w:val="auto"/>
          <w:kern w:val="0"/>
          <w:sz w:val="24"/>
          <w:highlight w:val="none"/>
          <w:lang w:val="zh-CN"/>
        </w:rPr>
        <w:t>以上表格要求细分项目及报价</w:t>
      </w:r>
      <w:r>
        <w:rPr>
          <w:rFonts w:ascii="仿宋" w:hAnsi="仿宋" w:eastAsia="仿宋" w:cs="仿宋_GB2312"/>
          <w:color w:val="auto"/>
          <w:kern w:val="0"/>
          <w:sz w:val="24"/>
          <w:highlight w:val="none"/>
          <w:lang w:val="zh-CN"/>
        </w:rPr>
        <w:t>，在“规格型号（或具体服务）”一栏中，货物类项目填写规格型号，服务类项目填写具体服务。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4、特别提示：采购机构将对项目名称和项目编号，中标供应商名称、地址和中标金额，主要中标标的</w:t>
      </w:r>
      <w:r>
        <w:rPr>
          <w:rFonts w:hint="eastAsia" w:ascii="仿宋" w:hAnsi="仿宋" w:eastAsia="仿宋"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szCs w:val="22"/>
          <w:highlight w:val="none"/>
          <w:lang w:val="zh-CN"/>
        </w:rPr>
        <w:t>5、</w:t>
      </w:r>
      <w:r>
        <w:rPr>
          <w:rFonts w:hint="eastAsia" w:ascii="仿宋" w:hAnsi="仿宋" w:eastAsia="仿宋" w:cs="仿宋_GB2312"/>
          <w:color w:val="auto"/>
          <w:kern w:val="0"/>
          <w:sz w:val="24"/>
          <w:highlight w:val="none"/>
          <w:lang w:val="zh-CN"/>
        </w:rPr>
        <w:t>符合招标文件中列明的可享受中小企业扶持政策的投标人，请填写中小企业声明函。注：投标人</w:t>
      </w:r>
      <w:r>
        <w:rPr>
          <w:rFonts w:ascii="仿宋" w:hAnsi="仿宋" w:eastAsia="仿宋" w:cs="仿宋_GB2312"/>
          <w:color w:val="auto"/>
          <w:kern w:val="0"/>
          <w:sz w:val="24"/>
          <w:highlight w:val="none"/>
          <w:lang w:val="zh-CN"/>
        </w:rPr>
        <w:t>提供</w:t>
      </w:r>
      <w:r>
        <w:rPr>
          <w:rFonts w:hint="eastAsia" w:ascii="仿宋" w:hAnsi="仿宋" w:eastAsia="仿宋" w:cs="仿宋_GB2312"/>
          <w:color w:val="auto"/>
          <w:kern w:val="0"/>
          <w:sz w:val="24"/>
          <w:highlight w:val="none"/>
          <w:lang w:val="zh-CN"/>
        </w:rPr>
        <w:t>的中小企业</w:t>
      </w:r>
      <w:r>
        <w:rPr>
          <w:rFonts w:ascii="仿宋" w:hAnsi="仿宋" w:eastAsia="仿宋" w:cs="仿宋_GB2312"/>
          <w:color w:val="auto"/>
          <w:kern w:val="0"/>
          <w:sz w:val="24"/>
          <w:highlight w:val="none"/>
          <w:lang w:val="zh-CN"/>
        </w:rPr>
        <w:t>声明函内容不实的，属于提供虚假材料谋取中标、成交，依照《中华人民共和国政府采购法》等国家有关规定追究相应责任。</w:t>
      </w: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olor w:val="auto"/>
          <w:sz w:val="32"/>
          <w:szCs w:val="32"/>
          <w:highlight w:val="none"/>
        </w:rPr>
      </w:pPr>
      <w:r>
        <w:rPr>
          <w:rFonts w:hint="eastAsia" w:ascii="仿宋" w:hAnsi="仿宋" w:eastAsia="仿宋" w:cs="仿宋_GB2312"/>
          <w:color w:val="auto"/>
          <w:kern w:val="2"/>
          <w:sz w:val="32"/>
          <w:szCs w:val="32"/>
          <w:highlight w:val="none"/>
        </w:rPr>
        <w:t>二、</w:t>
      </w:r>
      <w:r>
        <w:rPr>
          <w:rFonts w:hint="eastAsia" w:ascii="仿宋" w:hAnsi="仿宋" w:eastAsia="仿宋"/>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 w:hAnsi="仿宋" w:eastAsia="仿宋"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_GB2312"/>
          <w:b/>
          <w:color w:val="auto"/>
          <w:sz w:val="24"/>
          <w:highlight w:val="none"/>
        </w:rPr>
        <w:t>5）。</w:t>
      </w:r>
      <w:r>
        <w:rPr>
          <w:rFonts w:hint="eastAsia" w:ascii="仿宋" w:hAnsi="仿宋" w:eastAsia="仿宋" w:cs="仿宋_GB2312"/>
          <w:b/>
          <w:color w:val="auto"/>
          <w:sz w:val="24"/>
          <w:highlight w:val="none"/>
        </w:rPr>
        <w:t>]</w:t>
      </w:r>
    </w:p>
    <w:p>
      <w:pPr>
        <w:pStyle w:val="3"/>
        <w:rPr>
          <w:color w:val="auto"/>
          <w:highlight w:val="none"/>
        </w:rPr>
      </w:pPr>
      <w:r>
        <w:rPr>
          <w:color w:val="auto"/>
          <w:highlight w:val="none"/>
        </w:rPr>
        <w:br w:type="page"/>
      </w:r>
    </w:p>
    <w:p>
      <w:pPr>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三、代理服务费支付承诺书</w:t>
      </w:r>
    </w:p>
    <w:p>
      <w:pPr>
        <w:snapToGrid w:val="0"/>
        <w:spacing w:before="50" w:after="50"/>
        <w:rPr>
          <w:rFonts w:ascii="宋体" w:hAnsi="宋体"/>
          <w:color w:val="auto"/>
          <w:spacing w:val="20"/>
          <w:sz w:val="24"/>
          <w:highlight w:val="none"/>
          <w:u w:val="single"/>
        </w:rPr>
      </w:pPr>
    </w:p>
    <w:p>
      <w:pPr>
        <w:spacing w:line="360" w:lineRule="auto"/>
        <w:contextualSpacing/>
        <w:rPr>
          <w:rFonts w:ascii="仿宋" w:hAnsi="仿宋" w:eastAsia="仿宋"/>
          <w:color w:val="auto"/>
          <w:spacing w:val="20"/>
          <w:sz w:val="24"/>
          <w:highlight w:val="none"/>
        </w:rPr>
      </w:pPr>
      <w:r>
        <w:rPr>
          <w:rFonts w:hint="eastAsia" w:ascii="仿宋" w:hAnsi="仿宋" w:eastAsia="仿宋"/>
          <w:color w:val="auto"/>
          <w:spacing w:val="20"/>
          <w:sz w:val="24"/>
          <w:highlight w:val="none"/>
        </w:rPr>
        <w:t>致：</w:t>
      </w:r>
      <w:r>
        <w:rPr>
          <w:rFonts w:ascii="仿宋" w:hAnsi="仿宋" w:eastAsia="仿宋"/>
          <w:color w:val="auto"/>
          <w:spacing w:val="20"/>
          <w:sz w:val="24"/>
          <w:highlight w:val="none"/>
        </w:rPr>
        <w:t>杭州意信招标代理有限公司</w:t>
      </w:r>
    </w:p>
    <w:p>
      <w:pPr>
        <w:spacing w:line="360" w:lineRule="auto"/>
        <w:contextualSpacing/>
        <w:rPr>
          <w:rFonts w:ascii="仿宋" w:hAnsi="仿宋" w:eastAsia="仿宋"/>
          <w:color w:val="auto"/>
          <w:spacing w:val="20"/>
          <w:sz w:val="24"/>
          <w:highlight w:val="none"/>
        </w:rPr>
      </w:pPr>
    </w:p>
    <w:p>
      <w:pPr>
        <w:spacing w:line="360" w:lineRule="auto"/>
        <w:ind w:firstLine="630"/>
        <w:contextualSpacing/>
        <w:rPr>
          <w:rFonts w:ascii="仿宋" w:hAnsi="仿宋" w:eastAsia="仿宋"/>
          <w:color w:val="auto"/>
          <w:spacing w:val="20"/>
          <w:sz w:val="24"/>
          <w:highlight w:val="none"/>
        </w:rPr>
      </w:pPr>
      <w:r>
        <w:rPr>
          <w:rFonts w:hint="eastAsia" w:ascii="仿宋" w:hAnsi="仿宋" w:eastAsia="仿宋"/>
          <w:color w:val="auto"/>
          <w:spacing w:val="20"/>
          <w:sz w:val="24"/>
          <w:highlight w:val="none"/>
        </w:rPr>
        <w:t>我公司已认真阅读了招标文件（</w:t>
      </w:r>
      <w:r>
        <w:rPr>
          <w:rFonts w:ascii="仿宋" w:hAnsi="仿宋" w:eastAsia="仿宋"/>
          <w:color w:val="auto"/>
          <w:spacing w:val="20"/>
          <w:sz w:val="24"/>
          <w:highlight w:val="none"/>
        </w:rPr>
        <w:t>招标编号</w:t>
      </w:r>
      <w:r>
        <w:rPr>
          <w:rFonts w:hint="eastAsia" w:ascii="仿宋" w:hAnsi="仿宋" w:eastAsia="仿宋"/>
          <w:color w:val="auto"/>
          <w:spacing w:val="20"/>
          <w:sz w:val="24"/>
          <w:highlight w:val="none"/>
        </w:rPr>
        <w:t>：          ）并在此承诺：</w:t>
      </w:r>
    </w:p>
    <w:p>
      <w:pPr>
        <w:spacing w:line="360" w:lineRule="auto"/>
        <w:ind w:firstLine="630"/>
        <w:contextualSpacing/>
        <w:rPr>
          <w:rFonts w:ascii="仿宋" w:hAnsi="仿宋" w:eastAsia="仿宋"/>
          <w:color w:val="auto"/>
          <w:sz w:val="24"/>
          <w:highlight w:val="none"/>
        </w:rPr>
      </w:pPr>
      <w:r>
        <w:rPr>
          <w:rFonts w:hint="eastAsia" w:ascii="仿宋" w:hAnsi="仿宋" w:eastAsia="仿宋"/>
          <w:color w:val="auto"/>
          <w:sz w:val="24"/>
          <w:highlight w:val="none"/>
        </w:rPr>
        <w:t>如中标，我公司将自中标公告发布之日起5个工作日内按招标文件规定的标准（详见</w:t>
      </w:r>
      <w:r>
        <w:rPr>
          <w:rFonts w:ascii="仿宋" w:hAnsi="仿宋" w:eastAsia="仿宋"/>
          <w:color w:val="auto"/>
          <w:sz w:val="24"/>
          <w:highlight w:val="none"/>
        </w:rPr>
        <w:t>第</w:t>
      </w:r>
      <w:r>
        <w:rPr>
          <w:rFonts w:hint="eastAsia" w:ascii="仿宋" w:hAnsi="仿宋" w:eastAsia="仿宋"/>
          <w:color w:val="auto"/>
          <w:sz w:val="24"/>
          <w:highlight w:val="none"/>
        </w:rPr>
        <w:t>二部分 投标人须知 前附表）一次性向采购代理机构支付代理服务费。</w:t>
      </w:r>
    </w:p>
    <w:p>
      <w:pPr>
        <w:spacing w:line="360" w:lineRule="auto"/>
        <w:ind w:firstLine="630"/>
        <w:contextualSpacing/>
        <w:rPr>
          <w:rFonts w:ascii="仿宋" w:hAnsi="仿宋" w:eastAsia="仿宋"/>
          <w:color w:val="auto"/>
          <w:sz w:val="24"/>
          <w:highlight w:val="none"/>
        </w:rPr>
      </w:pPr>
    </w:p>
    <w:p>
      <w:pPr>
        <w:spacing w:line="360" w:lineRule="auto"/>
        <w:ind w:firstLine="630"/>
        <w:contextualSpacing/>
        <w:rPr>
          <w:rFonts w:ascii="仿宋" w:hAnsi="仿宋" w:eastAsia="仿宋"/>
          <w:color w:val="auto"/>
          <w:sz w:val="24"/>
          <w:highlight w:val="none"/>
        </w:rPr>
      </w:pPr>
    </w:p>
    <w:p>
      <w:pPr>
        <w:spacing w:line="360" w:lineRule="auto"/>
        <w:ind w:firstLine="630"/>
        <w:contextualSpacing/>
        <w:rPr>
          <w:rFonts w:ascii="仿宋" w:hAnsi="仿宋" w:eastAsia="仿宋"/>
          <w:color w:val="auto"/>
          <w:sz w:val="24"/>
          <w:highlight w:val="none"/>
        </w:rPr>
      </w:pPr>
    </w:p>
    <w:p>
      <w:pPr>
        <w:spacing w:line="360" w:lineRule="auto"/>
        <w:ind w:firstLine="630"/>
        <w:contextualSpacing/>
        <w:rPr>
          <w:rFonts w:ascii="仿宋" w:hAnsi="仿宋" w:eastAsia="仿宋"/>
          <w:color w:val="auto"/>
          <w:sz w:val="24"/>
          <w:highlight w:val="none"/>
        </w:rPr>
      </w:pPr>
    </w:p>
    <w:p>
      <w:pPr>
        <w:spacing w:line="360" w:lineRule="auto"/>
        <w:contextualSpacing/>
        <w:rPr>
          <w:rFonts w:ascii="仿宋" w:hAnsi="仿宋" w:eastAsia="仿宋"/>
          <w:color w:val="auto"/>
          <w:sz w:val="24"/>
          <w:szCs w:val="20"/>
          <w:highlight w:val="none"/>
        </w:rPr>
      </w:pPr>
      <w:r>
        <w:rPr>
          <w:rFonts w:hint="eastAsia" w:ascii="仿宋" w:hAnsi="仿宋" w:eastAsia="仿宋"/>
          <w:color w:val="auto"/>
          <w:sz w:val="24"/>
          <w:highlight w:val="none"/>
        </w:rPr>
        <w:t>承诺方（投标人）名称</w:t>
      </w:r>
      <w:r>
        <w:rPr>
          <w:rFonts w:ascii="仿宋" w:hAnsi="仿宋" w:eastAsia="仿宋"/>
          <w:color w:val="auto"/>
          <w:spacing w:val="20"/>
          <w:sz w:val="24"/>
          <w:highlight w:val="none"/>
        </w:rPr>
        <w:t>（公章）</w:t>
      </w:r>
      <w:r>
        <w:rPr>
          <w:rFonts w:ascii="仿宋" w:hAnsi="仿宋" w:eastAsia="仿宋"/>
          <w:color w:val="auto"/>
          <w:sz w:val="24"/>
          <w:highlight w:val="none"/>
        </w:rPr>
        <w:t>:___________________</w:t>
      </w:r>
    </w:p>
    <w:p>
      <w:pPr>
        <w:spacing w:line="360" w:lineRule="auto"/>
        <w:contextualSpacing/>
        <w:rPr>
          <w:rFonts w:ascii="仿宋" w:hAnsi="仿宋" w:eastAsia="仿宋"/>
          <w:color w:val="auto"/>
          <w:sz w:val="24"/>
          <w:highlight w:val="none"/>
        </w:rPr>
      </w:pPr>
      <w:r>
        <w:rPr>
          <w:rFonts w:ascii="仿宋" w:hAnsi="仿宋" w:eastAsia="仿宋"/>
          <w:color w:val="auto"/>
          <w:spacing w:val="20"/>
          <w:sz w:val="24"/>
          <w:highlight w:val="none"/>
        </w:rPr>
        <w:t>法定代表人或</w:t>
      </w:r>
      <w:r>
        <w:rPr>
          <w:rFonts w:hint="eastAsia" w:ascii="仿宋" w:hAnsi="仿宋" w:eastAsia="仿宋"/>
          <w:color w:val="auto"/>
          <w:sz w:val="24"/>
          <w:highlight w:val="none"/>
        </w:rPr>
        <w:t>授权代表</w:t>
      </w:r>
      <w:r>
        <w:rPr>
          <w:rFonts w:ascii="仿宋" w:hAnsi="仿宋" w:eastAsia="仿宋"/>
          <w:color w:val="auto"/>
          <w:spacing w:val="20"/>
          <w:sz w:val="24"/>
          <w:highlight w:val="none"/>
        </w:rPr>
        <w:t>（签字）</w:t>
      </w:r>
      <w:r>
        <w:rPr>
          <w:rFonts w:ascii="仿宋" w:hAnsi="仿宋" w:eastAsia="仿宋"/>
          <w:color w:val="auto"/>
          <w:sz w:val="24"/>
          <w:highlight w:val="none"/>
        </w:rPr>
        <w:t>:___________</w:t>
      </w:r>
    </w:p>
    <w:p>
      <w:pPr>
        <w:spacing w:line="360" w:lineRule="auto"/>
        <w:contextualSpacing/>
        <w:rPr>
          <w:rFonts w:ascii="仿宋" w:hAnsi="仿宋" w:eastAsia="仿宋"/>
          <w:color w:val="auto"/>
          <w:sz w:val="24"/>
          <w:highlight w:val="none"/>
        </w:rPr>
      </w:pPr>
      <w:r>
        <w:rPr>
          <w:rFonts w:hint="eastAsia" w:ascii="仿宋" w:hAnsi="仿宋" w:eastAsia="仿宋"/>
          <w:color w:val="auto"/>
          <w:sz w:val="24"/>
          <w:highlight w:val="none"/>
        </w:rPr>
        <w:t>承诺方（投标人）地址</w:t>
      </w:r>
      <w:r>
        <w:rPr>
          <w:rFonts w:ascii="仿宋" w:hAnsi="仿宋" w:eastAsia="仿宋"/>
          <w:color w:val="auto"/>
          <w:sz w:val="24"/>
          <w:highlight w:val="none"/>
        </w:rPr>
        <w:t xml:space="preserve">:_______________ </w:t>
      </w:r>
    </w:p>
    <w:p>
      <w:pPr>
        <w:spacing w:line="360" w:lineRule="auto"/>
        <w:contextualSpacing/>
        <w:rPr>
          <w:rFonts w:ascii="仿宋" w:hAnsi="仿宋" w:eastAsia="仿宋"/>
          <w:color w:val="auto"/>
          <w:sz w:val="24"/>
          <w:highlight w:val="none"/>
          <w:u w:val="single"/>
        </w:rPr>
      </w:pPr>
      <w:r>
        <w:rPr>
          <w:rFonts w:hint="eastAsia" w:ascii="仿宋" w:hAnsi="仿宋" w:eastAsia="仿宋"/>
          <w:color w:val="auto"/>
          <w:sz w:val="24"/>
          <w:highlight w:val="none"/>
        </w:rPr>
        <w:t>联系电话：    联系传真：</w:t>
      </w:r>
    </w:p>
    <w:p>
      <w:pPr>
        <w:widowControl/>
        <w:spacing w:line="360" w:lineRule="auto"/>
        <w:contextualSpacing/>
        <w:jc w:val="left"/>
        <w:rPr>
          <w:rFonts w:ascii="仿宋" w:hAnsi="仿宋" w:eastAsia="仿宋" w:cs="仿宋_GB2312"/>
          <w:b/>
          <w:color w:val="auto"/>
          <w:sz w:val="24"/>
          <w:highlight w:val="none"/>
        </w:rPr>
      </w:pPr>
      <w:r>
        <w:rPr>
          <w:rFonts w:hint="eastAsia" w:ascii="仿宋" w:hAnsi="仿宋" w:eastAsia="仿宋"/>
          <w:color w:val="auto"/>
          <w:sz w:val="24"/>
          <w:highlight w:val="none"/>
        </w:rPr>
        <w:t>承诺日期</w:t>
      </w:r>
      <w:r>
        <w:rPr>
          <w:rFonts w:ascii="仿宋" w:hAnsi="仿宋" w:eastAsia="仿宋"/>
          <w:color w:val="auto"/>
          <w:sz w:val="24"/>
          <w:highlight w:val="none"/>
        </w:rPr>
        <w:t>:_____</w:t>
      </w:r>
      <w:r>
        <w:rPr>
          <w:rFonts w:hint="eastAsia" w:ascii="仿宋" w:hAnsi="仿宋" w:eastAsia="仿宋"/>
          <w:color w:val="auto"/>
          <w:sz w:val="24"/>
          <w:highlight w:val="none"/>
        </w:rPr>
        <w:t>年</w:t>
      </w:r>
      <w:r>
        <w:rPr>
          <w:rFonts w:ascii="仿宋" w:hAnsi="仿宋" w:eastAsia="仿宋"/>
          <w:color w:val="auto"/>
          <w:sz w:val="24"/>
          <w:highlight w:val="none"/>
        </w:rPr>
        <w:t>___</w:t>
      </w:r>
      <w:r>
        <w:rPr>
          <w:rFonts w:hint="eastAsia" w:ascii="仿宋" w:hAnsi="仿宋" w:eastAsia="仿宋"/>
          <w:color w:val="auto"/>
          <w:sz w:val="24"/>
          <w:highlight w:val="none"/>
        </w:rPr>
        <w:t>月</w:t>
      </w:r>
      <w:r>
        <w:rPr>
          <w:rFonts w:ascii="仿宋" w:hAnsi="仿宋" w:eastAsia="仿宋"/>
          <w:color w:val="auto"/>
          <w:sz w:val="24"/>
          <w:highlight w:val="none"/>
        </w:rPr>
        <w:t>___</w:t>
      </w:r>
      <w:r>
        <w:rPr>
          <w:rFonts w:hint="eastAsia" w:ascii="仿宋" w:hAnsi="仿宋" w:eastAsia="仿宋"/>
          <w:color w:val="auto"/>
          <w:sz w:val="24"/>
          <w:highlight w:val="none"/>
        </w:rPr>
        <w:t>日</w:t>
      </w:r>
    </w:p>
    <w:p>
      <w:pPr>
        <w:pStyle w:val="692"/>
        <w:keepNext w:val="0"/>
        <w:pageBreakBefore w:val="0"/>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widowControl/>
        <w:adjustRightInd/>
        <w:jc w:val="left"/>
        <w:rPr>
          <w:rFonts w:ascii="仿宋_GB2312" w:hAnsi="仿宋" w:eastAsia="仿宋_GB2312" w:cs="仿宋_GB2312"/>
          <w:b/>
          <w:color w:val="auto"/>
          <w:sz w:val="32"/>
          <w:szCs w:val="32"/>
          <w:highlight w:val="none"/>
        </w:rPr>
      </w:pPr>
      <w:r>
        <w:rPr>
          <w:rFonts w:ascii="仿宋_GB2312" w:hAnsi="仿宋" w:eastAsia="仿宋_GB2312" w:cs="仿宋_GB2312"/>
          <w:b/>
          <w:color w:val="auto"/>
          <w:sz w:val="32"/>
          <w:szCs w:val="32"/>
          <w:highlight w:val="none"/>
        </w:rPr>
        <w:br w:type="page"/>
      </w:r>
    </w:p>
    <w:p>
      <w:pPr>
        <w:tabs>
          <w:tab w:val="left" w:pos="8085"/>
        </w:tabs>
        <w:spacing w:line="360" w:lineRule="auto"/>
        <w:ind w:firstLine="1285" w:firstLineChars="400"/>
        <w:jc w:val="left"/>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3"/>
        <w:numPr>
          <w:ilvl w:val="255"/>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3"/>
        <w:numPr>
          <w:ilvl w:val="255"/>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仿宋" w:hAnsi="仿宋" w:eastAsia="仿宋"/>
          <w:color w:val="auto"/>
          <w:highlight w:val="none"/>
        </w:rPr>
      </w:pPr>
      <w:bookmarkStart w:id="399" w:name="_Toc465665161"/>
      <w:r>
        <w:rPr>
          <w:rFonts w:hint="eastAsia" w:ascii="仿宋" w:hAnsi="仿宋" w:eastAsia="仿宋"/>
          <w:color w:val="auto"/>
          <w:highlight w:val="none"/>
        </w:rPr>
        <w:t>附件</w:t>
      </w:r>
      <w:bookmarkEnd w:id="399"/>
    </w:p>
    <w:p>
      <w:pPr>
        <w:spacing w:line="360" w:lineRule="auto"/>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1：</w:t>
      </w:r>
    </w:p>
    <w:p>
      <w:pPr>
        <w:spacing w:line="360" w:lineRule="auto"/>
        <w:jc w:val="center"/>
        <w:rPr>
          <w:rFonts w:ascii="仿宋" w:hAnsi="仿宋" w:eastAsia="仿宋"/>
          <w:b/>
          <w:color w:val="auto"/>
          <w:spacing w:val="6"/>
          <w:sz w:val="32"/>
          <w:szCs w:val="32"/>
          <w:highlight w:val="none"/>
        </w:rPr>
      </w:pPr>
      <w:bookmarkStart w:id="400" w:name="OLE_LINK14"/>
      <w:bookmarkStart w:id="401" w:name="OLE_LINK13"/>
      <w:r>
        <w:rPr>
          <w:rFonts w:hint="eastAsia" w:ascii="仿宋" w:hAnsi="仿宋" w:eastAsia="仿宋"/>
          <w:b/>
          <w:color w:val="auto"/>
          <w:spacing w:val="6"/>
          <w:sz w:val="32"/>
          <w:szCs w:val="32"/>
          <w:highlight w:val="none"/>
        </w:rPr>
        <w:t>残疾人福利性单位声明函</w:t>
      </w:r>
    </w:p>
    <w:bookmarkEnd w:id="400"/>
    <w:bookmarkEnd w:id="401"/>
    <w:p>
      <w:pPr>
        <w:spacing w:line="360" w:lineRule="auto"/>
        <w:rPr>
          <w:rFonts w:ascii="仿宋" w:hAnsi="仿宋" w:eastAsia="仿宋"/>
          <w:b/>
          <w:color w:val="auto"/>
          <w:spacing w:val="6"/>
          <w:sz w:val="30"/>
          <w:szCs w:val="30"/>
          <w:highlight w:val="none"/>
        </w:rPr>
      </w:pP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本单位郑重声明，根据《财政部民政部中国残疾人联合会关于促进残疾人就业政府采购政策的通知》（财库〔</w:t>
      </w:r>
      <w:r>
        <w:rPr>
          <w:rFonts w:ascii="仿宋" w:hAnsi="仿宋" w:eastAsia="仿宋"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_GB2312"/>
          <w:color w:val="auto"/>
          <w:sz w:val="24"/>
          <w:highlight w:val="none"/>
        </w:rPr>
      </w:pPr>
    </w:p>
    <w:p>
      <w:pPr>
        <w:spacing w:line="360" w:lineRule="auto"/>
        <w:ind w:firstLine="480" w:firstLineChars="200"/>
        <w:rPr>
          <w:rFonts w:ascii="仿宋" w:hAnsi="仿宋" w:eastAsia="仿宋" w:cs="仿宋_GB2312"/>
          <w:color w:val="auto"/>
          <w:sz w:val="24"/>
          <w:highlight w:val="none"/>
        </w:rPr>
      </w:pPr>
    </w:p>
    <w:p>
      <w:pPr>
        <w:tabs>
          <w:tab w:val="left" w:pos="4860"/>
        </w:tabs>
        <w:spacing w:line="360" w:lineRule="auto"/>
        <w:ind w:right="1560" w:firstLine="480" w:firstLineChars="200"/>
        <w:jc w:val="center"/>
        <w:rPr>
          <w:rFonts w:ascii="仿宋" w:hAnsi="仿宋" w:eastAsia="仿宋" w:cs="仿宋_GB2312"/>
          <w:color w:val="auto"/>
          <w:sz w:val="24"/>
          <w:highlight w:val="none"/>
        </w:rPr>
      </w:pPr>
      <w:r>
        <w:rPr>
          <w:rFonts w:hint="eastAsia" w:ascii="仿宋" w:hAnsi="仿宋" w:eastAsia="仿宋" w:cs="仿宋_GB2312"/>
          <w:color w:val="auto"/>
          <w:kern w:val="0"/>
          <w:sz w:val="24"/>
          <w:highlight w:val="none"/>
          <w:lang w:val="zh-CN"/>
        </w:rPr>
        <w:t>投标人名称（电子签名）</w:t>
      </w:r>
      <w:r>
        <w:rPr>
          <w:rFonts w:hint="eastAsia" w:ascii="仿宋" w:hAnsi="仿宋" w:eastAsia="仿宋" w:cs="仿宋_GB2312"/>
          <w:color w:val="auto"/>
          <w:sz w:val="24"/>
          <w:highlight w:val="none"/>
        </w:rPr>
        <w:t>：</w:t>
      </w:r>
    </w:p>
    <w:p>
      <w:pPr>
        <w:tabs>
          <w:tab w:val="left" w:pos="4860"/>
        </w:tabs>
        <w:spacing w:line="360" w:lineRule="auto"/>
        <w:ind w:right="1560" w:firstLine="480" w:firstLineChars="200"/>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日  期：</w:t>
      </w:r>
    </w:p>
    <w:p>
      <w:pPr>
        <w:spacing w:line="360" w:lineRule="auto"/>
        <w:ind w:firstLine="480" w:firstLineChars="200"/>
        <w:rPr>
          <w:rFonts w:ascii="仿宋" w:hAnsi="仿宋" w:eastAsia="仿宋" w:cs="仿宋_GB2312"/>
          <w:color w:val="auto"/>
          <w:sz w:val="24"/>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2：质疑函范本及制作说明</w:t>
      </w: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质疑函范本</w:t>
      </w:r>
    </w:p>
    <w:p>
      <w:pPr>
        <w:snapToGrid w:val="0"/>
        <w:spacing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联系人：联系电话：</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质疑项目的编号：包号：</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1：</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p>
    <w:p>
      <w:pPr>
        <w:snapToGrid w:val="0"/>
        <w:spacing w:line="360" w:lineRule="auto"/>
        <w:rPr>
          <w:rFonts w:ascii="仿宋" w:hAnsi="仿宋" w:eastAsia="仿宋" w:cs="仿宋"/>
          <w:color w:val="auto"/>
          <w:sz w:val="24"/>
          <w:highlight w:val="none"/>
          <w:u w:val="dotted"/>
        </w:rPr>
      </w:pP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质疑函制作说明：</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2.质疑供应商若委托代理人进行质疑的，</w:t>
      </w:r>
      <w:r>
        <w:rPr>
          <w:rFonts w:hint="eastAsia" w:ascii="仿宋" w:hAnsi="仿宋" w:eastAsia="仿宋"/>
          <w:color w:val="auto"/>
          <w:sz w:val="24"/>
          <w:highlight w:val="none"/>
        </w:rPr>
        <w:t>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6.质疑供应商为自然人的，</w:t>
      </w:r>
      <w:r>
        <w:rPr>
          <w:rFonts w:hint="eastAsia" w:ascii="仿宋" w:hAnsi="仿宋" w:eastAsia="仿宋"/>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auto"/>
          <w:sz w:val="30"/>
          <w:szCs w:val="30"/>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p>
    <w:p>
      <w:pPr>
        <w:widowControl/>
        <w:adjustRightInd/>
        <w:jc w:val="left"/>
        <w:rPr>
          <w:rFonts w:ascii="仿宋" w:hAnsi="仿宋" w:eastAsia="仿宋"/>
          <w:b/>
          <w:color w:val="auto"/>
          <w:spacing w:val="6"/>
          <w:sz w:val="32"/>
          <w:szCs w:val="32"/>
          <w:highlight w:val="none"/>
        </w:rPr>
      </w:pPr>
      <w:r>
        <w:rPr>
          <w:rFonts w:ascii="仿宋" w:hAnsi="仿宋" w:eastAsia="仿宋"/>
          <w:b/>
          <w:color w:val="auto"/>
          <w:spacing w:val="6"/>
          <w:sz w:val="32"/>
          <w:szCs w:val="32"/>
          <w:highlight w:val="none"/>
        </w:rPr>
        <w:br w:type="page"/>
      </w: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3：投诉书范本及制作说明</w:t>
      </w:r>
    </w:p>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投诉书范本</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一、投诉相关主体基本情况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投诉人：</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地址：邮编：</w:t>
      </w:r>
    </w:p>
    <w:p>
      <w:pPr>
        <w:tabs>
          <w:tab w:val="left" w:pos="6510"/>
        </w:tabs>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法定代表人</w:t>
      </w:r>
      <w:r>
        <w:rPr>
          <w:rFonts w:ascii="仿宋" w:hAnsi="仿宋" w:eastAsia="仿宋"/>
          <w:color w:val="auto"/>
          <w:sz w:val="24"/>
          <w:highlight w:val="none"/>
        </w:rPr>
        <w:t>/主要负责人：</w:t>
      </w:r>
    </w:p>
    <w:p>
      <w:pPr>
        <w:tabs>
          <w:tab w:val="left" w:pos="6510"/>
        </w:tabs>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联系电话：</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授权代表：联系电话</w:t>
      </w:r>
      <w:r>
        <w:rPr>
          <w:rFonts w:hint="eastAsia" w:ascii="仿宋" w:hAnsi="仿宋" w:eastAsia="仿宋"/>
          <w:color w:val="auto"/>
          <w:sz w:val="24"/>
          <w:highlight w:val="none"/>
          <w:u w:val="dotted"/>
        </w:rPr>
        <w:t>：</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地址：邮编：</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被投诉人</w:t>
      </w:r>
      <w:r>
        <w:rPr>
          <w:rFonts w:ascii="仿宋" w:hAnsi="仿宋" w:eastAsia="仿宋"/>
          <w:color w:val="auto"/>
          <w:sz w:val="24"/>
          <w:highlight w:val="none"/>
        </w:rPr>
        <w:t>1：</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地址：邮编：</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联系人：联系电话：</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被投诉人</w:t>
      </w:r>
      <w:r>
        <w:rPr>
          <w:rFonts w:ascii="仿宋" w:hAnsi="仿宋" w:eastAsia="仿宋"/>
          <w:color w:val="auto"/>
          <w:sz w:val="24"/>
          <w:highlight w:val="none"/>
        </w:rPr>
        <w:t>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相关供应商：</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地址：邮编：</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联系人：联系电话：</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二、投诉项目基本情况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采购项目名称：</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采购项目编号：包号：</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采购人名称：</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代理机构名称：</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采购文件公告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采购结果公告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三、质疑基本情况</w:t>
      </w:r>
    </w:p>
    <w:p>
      <w:pPr>
        <w:spacing w:line="360" w:lineRule="auto"/>
        <w:ind w:firstLine="480" w:firstLineChars="200"/>
        <w:rPr>
          <w:rFonts w:ascii="仿宋" w:hAnsi="仿宋" w:eastAsia="仿宋"/>
          <w:color w:val="auto"/>
          <w:sz w:val="24"/>
          <w:highlight w:val="none"/>
          <w:u w:val="dotted"/>
        </w:rPr>
      </w:pPr>
      <w:r>
        <w:rPr>
          <w:rFonts w:hint="eastAsia" w:ascii="仿宋" w:hAnsi="仿宋" w:eastAsia="仿宋"/>
          <w:color w:val="auto"/>
          <w:sz w:val="24"/>
          <w:highlight w:val="none"/>
        </w:rPr>
        <w:t>投诉人于年月日</w:t>
      </w:r>
      <w:r>
        <w:rPr>
          <w:rFonts w:ascii="仿宋" w:hAnsi="仿宋" w:eastAsia="仿宋"/>
          <w:color w:val="auto"/>
          <w:sz w:val="24"/>
          <w:highlight w:val="none"/>
        </w:rPr>
        <w:t>,向</w:t>
      </w:r>
      <w:r>
        <w:rPr>
          <w:rFonts w:hint="eastAsia" w:ascii="仿宋" w:hAnsi="仿宋" w:eastAsia="仿宋"/>
          <w:color w:val="auto"/>
          <w:sz w:val="24"/>
          <w:highlight w:val="none"/>
        </w:rPr>
        <w:t>提出质疑，质疑事项为：</w:t>
      </w:r>
    </w:p>
    <w:p>
      <w:pPr>
        <w:spacing w:line="360" w:lineRule="auto"/>
        <w:rPr>
          <w:rFonts w:ascii="仿宋" w:hAnsi="仿宋" w:eastAsia="仿宋"/>
          <w:color w:val="auto"/>
          <w:sz w:val="24"/>
          <w:highlight w:val="none"/>
          <w:u w:val="dotted"/>
        </w:rPr>
      </w:pPr>
    </w:p>
    <w:p>
      <w:pPr>
        <w:spacing w:line="360" w:lineRule="auto"/>
        <w:ind w:firstLine="360" w:firstLineChars="150"/>
        <w:rPr>
          <w:rFonts w:ascii="仿宋" w:hAnsi="仿宋" w:eastAsia="仿宋"/>
          <w:color w:val="auto"/>
          <w:sz w:val="24"/>
          <w:highlight w:val="none"/>
        </w:rPr>
      </w:pPr>
      <w:r>
        <w:rPr>
          <w:rFonts w:hint="eastAsia" w:ascii="仿宋" w:hAnsi="仿宋" w:eastAsia="仿宋"/>
          <w:color w:val="auto"/>
          <w:sz w:val="24"/>
          <w:highlight w:val="none"/>
          <w:u w:val="dotted"/>
        </w:rPr>
        <w:t>采购人</w:t>
      </w:r>
      <w:r>
        <w:rPr>
          <w:rFonts w:ascii="仿宋" w:hAnsi="仿宋" w:eastAsia="仿宋"/>
          <w:color w:val="auto"/>
          <w:sz w:val="24"/>
          <w:highlight w:val="none"/>
          <w:u w:val="dotted"/>
        </w:rPr>
        <w:t>/代理机构</w:t>
      </w:r>
      <w:r>
        <w:rPr>
          <w:rFonts w:hint="eastAsia" w:ascii="仿宋" w:hAnsi="仿宋" w:eastAsia="仿宋"/>
          <w:color w:val="auto"/>
          <w:sz w:val="24"/>
          <w:highlight w:val="none"/>
        </w:rPr>
        <w:t>于年月日</w:t>
      </w:r>
      <w:r>
        <w:rPr>
          <w:rFonts w:ascii="仿宋" w:hAnsi="仿宋" w:eastAsia="仿宋"/>
          <w:color w:val="auto"/>
          <w:sz w:val="24"/>
          <w:highlight w:val="none"/>
        </w:rPr>
        <w:t>,就质疑事项</w:t>
      </w:r>
      <w:r>
        <w:rPr>
          <w:rFonts w:hint="eastAsia" w:ascii="仿宋" w:hAnsi="仿宋" w:eastAsia="仿宋"/>
          <w:color w:val="auto"/>
          <w:sz w:val="24"/>
          <w:highlight w:val="none"/>
        </w:rPr>
        <w:t>作出了答复</w:t>
      </w:r>
      <w:r>
        <w:rPr>
          <w:rFonts w:ascii="仿宋" w:hAnsi="仿宋" w:eastAsia="仿宋"/>
          <w:color w:val="auto"/>
          <w:sz w:val="24"/>
          <w:highlight w:val="none"/>
        </w:rPr>
        <w:t>/没有在法定期限内</w:t>
      </w:r>
      <w:r>
        <w:rPr>
          <w:rFonts w:hint="eastAsia" w:ascii="仿宋" w:hAnsi="仿宋" w:eastAsia="仿宋"/>
          <w:color w:val="auto"/>
          <w:sz w:val="24"/>
          <w:highlight w:val="none"/>
        </w:rPr>
        <w:t>作出答复。</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四、投诉事项具体内容</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投诉事项</w:t>
      </w:r>
      <w:r>
        <w:rPr>
          <w:rFonts w:ascii="仿宋" w:hAnsi="仿宋" w:eastAsia="仿宋"/>
          <w:color w:val="auto"/>
          <w:sz w:val="24"/>
          <w:highlight w:val="none"/>
        </w:rPr>
        <w:t xml:space="preserve"> 1：</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事实依据：</w:t>
      </w:r>
    </w:p>
    <w:p>
      <w:pPr>
        <w:spacing w:line="360" w:lineRule="auto"/>
        <w:rPr>
          <w:rFonts w:ascii="仿宋" w:hAnsi="仿宋" w:eastAsia="仿宋"/>
          <w:color w:val="auto"/>
          <w:sz w:val="24"/>
          <w:highlight w:val="none"/>
          <w:u w:val="dotted"/>
        </w:rPr>
      </w:pP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法律依据：</w:t>
      </w:r>
    </w:p>
    <w:p>
      <w:pPr>
        <w:spacing w:line="360" w:lineRule="auto"/>
        <w:rPr>
          <w:rFonts w:ascii="仿宋" w:hAnsi="仿宋" w:eastAsia="仿宋"/>
          <w:color w:val="auto"/>
          <w:sz w:val="24"/>
          <w:highlight w:val="none"/>
          <w:u w:val="dotted"/>
        </w:rPr>
      </w:pP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投诉事项</w:t>
      </w:r>
      <w:r>
        <w:rPr>
          <w:rFonts w:ascii="仿宋" w:hAnsi="仿宋" w:eastAsia="仿宋"/>
          <w:color w:val="auto"/>
          <w:sz w:val="24"/>
          <w:highlight w:val="none"/>
        </w:rPr>
        <w:t>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五、与投诉事项相关的投诉请求</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请求：</w:t>
      </w:r>
    </w:p>
    <w:p>
      <w:pPr>
        <w:spacing w:line="360" w:lineRule="auto"/>
        <w:rPr>
          <w:rFonts w:ascii="仿宋" w:hAnsi="仿宋" w:eastAsia="仿宋"/>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投诉书制作说明：</w:t>
      </w:r>
    </w:p>
    <w:p>
      <w:pPr>
        <w:widowControl/>
        <w:spacing w:line="360" w:lineRule="auto"/>
        <w:ind w:firstLine="480" w:firstLineChars="200"/>
        <w:rPr>
          <w:rFonts w:ascii="仿宋" w:hAnsi="仿宋" w:eastAsia="仿宋" w:cs="宋体"/>
          <w:color w:val="auto"/>
          <w:kern w:val="0"/>
          <w:sz w:val="24"/>
          <w:highlight w:val="none"/>
        </w:rPr>
      </w:pPr>
      <w:r>
        <w:rPr>
          <w:rFonts w:ascii="仿宋" w:hAnsi="仿宋" w:eastAsia="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widowControl/>
        <w:adjustRightInd/>
        <w:jc w:val="left"/>
        <w:rPr>
          <w:rFonts w:ascii="仿宋" w:hAnsi="仿宋" w:eastAsia="仿宋"/>
          <w:b/>
          <w:color w:val="auto"/>
          <w:spacing w:val="6"/>
          <w:sz w:val="32"/>
          <w:szCs w:val="32"/>
          <w:highlight w:val="none"/>
        </w:rPr>
      </w:pPr>
      <w:r>
        <w:rPr>
          <w:rFonts w:ascii="仿宋" w:hAnsi="仿宋" w:eastAsia="仿宋"/>
          <w:b/>
          <w:color w:val="auto"/>
          <w:spacing w:val="6"/>
          <w:sz w:val="32"/>
          <w:szCs w:val="32"/>
          <w:highlight w:val="none"/>
        </w:rPr>
        <w:br w:type="page"/>
      </w:r>
    </w:p>
    <w:p>
      <w:pPr>
        <w:autoSpaceDE w:val="0"/>
        <w:autoSpaceDN w:val="0"/>
        <w:jc w:val="both"/>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hint="eastAsia" w:ascii="仿宋" w:hAnsi="仿宋" w:eastAsia="仿宋" w:cs="仿宋_GB2312"/>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你方组织的（项目名称）项目【招标编号：（采购编号）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w:pict>
          <v:rect id="Rectangle 17" o:spid="_x0000_s1026" o:spt="1" style="position:absolute;left:0pt;margin-left:238.9pt;margin-top:28.05pt;height:177.45pt;width:212.95pt;z-index:-251657216;mso-width-relative:page;mso-height-relative:page;"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1kA8/2AAAAAoBAAAPAAAAAAAAAAEAIAAAADgAAABkcnMvZG93bnJldi54bWxQSwECFAAU&#10;AAAACACHTuJAXwl0BBQCAAAwBAAADgAAAAAAAAABACAAAAA9AQAAZHJzL2Uyb0RvYy54bWxQSwUG&#10;AAAAAAYABgBZAQAAwwUAAAAA&#10;">
            <v:path/>
            <v:fill focussize="0,0"/>
            <v:stroke miterlimit="2"/>
            <v:imagedata o:title=""/>
            <o:lock v:ext="edit"/>
          </v:rect>
        </w:pict>
      </w:r>
      <w:r>
        <w:rPr>
          <w:rFonts w:ascii="仿宋" w:hAnsi="仿宋" w:eastAsia="仿宋"/>
          <w:b/>
          <w:bCs/>
          <w:color w:val="auto"/>
          <w:sz w:val="24"/>
          <w:highlight w:val="none"/>
        </w:rPr>
        <w:pict>
          <v:rect id="Rectangle 16" o:spid="_x0000_s3074" o:spt="1" style="position:absolute;left:0pt;margin-left:-7.2pt;margin-top:30.3pt;height:177.45pt;width:208.5pt;z-index:-251656192;mso-width-relative:page;mso-height-relative:page;"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ZjEem2AAAAAoBAAAPAAAAAAAAAAEAIAAAADgAAABkcnMvZG93bnJldi54bWxQSwECFAAU&#10;AAAACACHTuJAd2ff7hQCAAAwBAAADgAAAAAAAAABACAAAAA9AQAAZHJzL2Uyb0RvYy54bWxQSwUG&#10;AAAAAAYABgBZAQAAwwUAAAAA&#10;">
            <v:path/>
            <v:fill focussize="0,0"/>
            <v:stroke miterlimit="2"/>
            <v:imagedata o:title=""/>
            <o:lock v:ext="edit"/>
          </v:rect>
        </w:pict>
      </w:r>
      <w:r>
        <w:rPr>
          <w:rFonts w:hint="eastAsia" w:ascii="仿宋" w:hAnsi="仿宋" w:eastAsia="仿宋" w:cs="宋体"/>
          <w:color w:val="auto"/>
          <w:sz w:val="24"/>
          <w:highlight w:val="none"/>
        </w:rPr>
        <w:t>投标单位法定名称章（印模）投标单位“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both"/>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 w:hAnsi="仿宋" w:eastAsia="仿宋"/>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中小企业声明函（货物）</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hint="eastAsia" w:ascii="仿宋" w:hAnsi="仿宋" w:eastAsia="仿宋" w:cs="宋体"/>
          <w:color w:val="auto"/>
          <w:sz w:val="24"/>
          <w:highlight w:val="none"/>
        </w:rPr>
        <w:t>﹝</w:t>
      </w:r>
      <w:r>
        <w:rPr>
          <w:rFonts w:ascii="仿宋" w:hAnsi="仿宋" w:eastAsia="仿宋"/>
          <w:color w:val="auto"/>
          <w:sz w:val="24"/>
          <w:highlight w:val="none"/>
        </w:rPr>
        <w:t>2020</w:t>
      </w:r>
      <w:r>
        <w:rPr>
          <w:rFonts w:hint="eastAsia" w:ascii="仿宋" w:hAnsi="仿宋" w:eastAsia="仿宋" w:cs="宋体"/>
          <w:color w:val="auto"/>
          <w:sz w:val="24"/>
          <w:highlight w:val="none"/>
        </w:rPr>
        <w:t>﹞</w:t>
      </w:r>
      <w:r>
        <w:rPr>
          <w:rFonts w:ascii="仿宋" w:hAnsi="仿宋" w:eastAsia="仿宋"/>
          <w:color w:val="auto"/>
          <w:sz w:val="24"/>
          <w:highlight w:val="none"/>
        </w:rPr>
        <w:t xml:space="preserve">46 </w:t>
      </w:r>
      <w:r>
        <w:rPr>
          <w:rFonts w:hint="eastAsia" w:ascii="仿宋" w:hAnsi="仿宋" w:eastAsia="仿宋"/>
          <w:color w:val="auto"/>
          <w:sz w:val="24"/>
          <w:highlight w:val="none"/>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（采购文件中明确的所属行业）</w:t>
      </w:r>
      <w:r>
        <w:rPr>
          <w:rFonts w:hint="eastAsia" w:ascii="仿宋" w:hAnsi="仿宋" w:eastAsia="仿宋"/>
          <w:color w:val="auto"/>
          <w:sz w:val="24"/>
          <w:highlight w:val="none"/>
        </w:rPr>
        <w:t>行业；制造商为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（采购文件中明确的所属行业）</w:t>
      </w:r>
      <w:r>
        <w:rPr>
          <w:rFonts w:hint="eastAsia" w:ascii="仿宋" w:hAnsi="仿宋" w:eastAsia="仿宋"/>
          <w:color w:val="auto"/>
          <w:sz w:val="24"/>
          <w:highlight w:val="none"/>
        </w:rPr>
        <w:t>行业；制造商为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月日</w:t>
      </w:r>
    </w:p>
    <w:p>
      <w:pPr>
        <w:spacing w:line="360" w:lineRule="auto"/>
        <w:jc w:val="left"/>
        <w:rPr>
          <w:rFonts w:ascii="仿宋" w:hAnsi="仿宋" w:eastAsia="仿宋"/>
          <w:color w:val="auto"/>
          <w:sz w:val="18"/>
          <w:szCs w:val="18"/>
          <w:highlight w:val="none"/>
        </w:rPr>
      </w:pPr>
      <w:r>
        <w:rPr>
          <w:rFonts w:hint="eastAsia" w:ascii="仿宋" w:hAnsi="仿宋" w:eastAsia="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_GB2312"/>
          <w:color w:val="auto"/>
          <w:sz w:val="24"/>
          <w:highlight w:val="none"/>
        </w:rPr>
      </w:pPr>
    </w:p>
    <w:p>
      <w:pPr>
        <w:spacing w:line="360" w:lineRule="auto"/>
        <w:ind w:right="420" w:firstLine="480" w:firstLineChars="200"/>
        <w:rPr>
          <w:rFonts w:ascii="仿宋" w:hAnsi="仿宋" w:eastAsia="仿宋" w:cs="仿宋_GB2312"/>
          <w:color w:val="auto"/>
          <w:sz w:val="24"/>
          <w:highlight w:val="none"/>
        </w:rPr>
      </w:pPr>
    </w:p>
    <w:p>
      <w:pPr>
        <w:spacing w:line="360" w:lineRule="auto"/>
        <w:ind w:right="420"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注：符合《关于促进残疾人就业政府采购政策的通知》（财库〔</w:t>
      </w:r>
      <w:r>
        <w:rPr>
          <w:rFonts w:ascii="仿宋" w:hAnsi="仿宋" w:eastAsia="仿宋"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中小企业声明函</w:t>
      </w:r>
      <w:r>
        <w:rPr>
          <w:rFonts w:hint="eastAsia" w:ascii="仿宋" w:hAnsi="仿宋" w:eastAsia="仿宋"/>
          <w:b/>
          <w:color w:val="auto"/>
          <w:sz w:val="32"/>
          <w:szCs w:val="32"/>
          <w:highlight w:val="none"/>
        </w:rPr>
        <w:t>（工程、服务）</w:t>
      </w:r>
    </w:p>
    <w:p>
      <w:pPr>
        <w:spacing w:line="360" w:lineRule="auto"/>
        <w:rPr>
          <w:rFonts w:ascii="仿宋" w:hAnsi="仿宋" w:eastAsia="仿宋"/>
          <w:color w:val="auto"/>
          <w:highlight w:val="none"/>
        </w:rPr>
      </w:pPr>
    </w:p>
    <w:p>
      <w:pPr>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olor w:val="auto"/>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spacing w:line="360" w:lineRule="auto"/>
        <w:ind w:right="1120" w:firstLine="4680" w:firstLineChars="1950"/>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ind w:firstLine="310" w:firstLineChars="147"/>
        <w:jc w:val="left"/>
        <w:rPr>
          <w:rFonts w:ascii="仿宋" w:hAnsi="仿宋" w:eastAsia="仿宋"/>
          <w:b/>
          <w:color w:val="auto"/>
          <w:szCs w:val="21"/>
          <w:highlight w:val="none"/>
        </w:rPr>
      </w:pPr>
      <w:r>
        <w:rPr>
          <w:rFonts w:hint="eastAsia" w:ascii="仿宋" w:hAnsi="仿宋" w:eastAsia="仿宋"/>
          <w:b/>
          <w:color w:val="auto"/>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_GB2312"/>
          <w:color w:val="auto"/>
          <w:sz w:val="24"/>
          <w:highlight w:val="none"/>
        </w:rPr>
      </w:pPr>
    </w:p>
    <w:p>
      <w:pPr>
        <w:spacing w:line="360" w:lineRule="auto"/>
        <w:ind w:right="420"/>
        <w:rPr>
          <w:color w:val="auto"/>
          <w:highlight w:val="none"/>
        </w:rPr>
      </w:pPr>
      <w:r>
        <w:rPr>
          <w:rFonts w:ascii="仿宋" w:hAnsi="仿宋" w:eastAsia="仿宋"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modern"/>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微软雅黑"/>
    <w:panose1 w:val="00000000000000000000"/>
    <w:charset w:val="00"/>
    <w:family w:val="modern"/>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Segoe Print"/>
    <w:panose1 w:val="00000000000000000000"/>
    <w:charset w:val="00"/>
    <w:family w:val="decorative"/>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FHLHE E+ Futura Bk">
    <w:altName w:val="宋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modern"/>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roma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modern"/>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decorative"/>
    <w:pitch w:val="default"/>
    <w:sig w:usb0="00000000" w:usb1="00000000" w:usb2="00000000" w:usb3="00000000" w:csb0="00000011" w:csb1="00000000"/>
  </w:font>
  <w:font w:name=".PingFang SC">
    <w:altName w:val="宋体"/>
    <w:panose1 w:val="00000000000000000000"/>
    <w:charset w:val="86"/>
    <w:family w:val="roma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bookmarkStart w:id="402" w:name="_Toc36110187"/>
    <w:bookmarkStart w:id="403" w:name="_Toc164085800"/>
    <w:bookmarkStart w:id="404" w:name="_Toc91899912"/>
    <w:bookmarkStart w:id="405" w:name="_Toc131845147"/>
    <w:r>
      <w:rPr>
        <w:rFonts w:hint="eastAsia" w:ascii="仿宋_GB2312" w:eastAsia="仿宋_GB2312"/>
        <w:kern w:val="0"/>
        <w:szCs w:val="21"/>
      </w:rPr>
      <w:t xml:space="preserve"> 页</w:t>
    </w:r>
    <w:bookmarkEnd w:id="402"/>
    <w:bookmarkEnd w:id="403"/>
    <w:bookmarkEnd w:id="404"/>
    <w:bookmarkEnd w:id="40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rPr>
        <w:rFonts w:hint="eastAsia"/>
        <w:lang w:val="zh-CN"/>
      </w:rPr>
      <w:t>浙江省杭州生态环境监测中心</w:t>
    </w:r>
    <w:r>
      <w:t>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eastAsia="zh-CN"/>
      </w:rPr>
      <w:t>浙江省杭州生态环境监测中心</w:t>
    </w:r>
    <w: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tab/>
    </w:r>
    <w:r>
      <w:tab/>
    </w:r>
    <w:r>
      <w:rPr>
        <w:rFonts w:hint="eastAsia"/>
        <w:lang w:val="zh-CN"/>
      </w:rPr>
      <w:t>浙江省杭州生态环境监测中心</w:t>
    </w:r>
    <w:r>
      <w:rPr>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lang w:eastAsia="zh-CN"/>
      </w:rPr>
      <w:t>浙江省杭州生态环境监测中心</w:t>
    </w:r>
    <w:r>
      <w:t>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eastAsia="zh-CN"/>
      </w:rPr>
      <w:t>浙江省杭州生态环境监测中心</w:t>
    </w:r>
    <w: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lang w:eastAsia="zh-CN"/>
      </w:rPr>
      <w:t>浙江省杭州生态环境监测中心</w:t>
    </w:r>
    <w:r>
      <w:t>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eastAsia="zh-CN"/>
      </w:rPr>
      <w:t>浙江省杭州生态环境监测中心</w:t>
    </w:r>
    <w: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lang w:eastAsia="zh-CN"/>
      </w:rPr>
      <w:t>浙江省杭州生态环境监测中心</w:t>
    </w:r>
    <w:r>
      <w:t>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eastAsia="zh-CN"/>
      </w:rPr>
      <w:t>浙江省杭州生态环境监测中心</w:t>
    </w:r>
    <w:r>
      <w:t>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rPr>
        <w:rFonts w:hint="eastAsia"/>
        <w:lang w:eastAsia="zh-CN"/>
      </w:rPr>
      <w:t>浙江省杭州生态环境监测中心</w:t>
    </w:r>
    <w: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140CCB"/>
    <w:multiLevelType w:val="singleLevel"/>
    <w:tmpl w:val="E7140CCB"/>
    <w:lvl w:ilvl="0" w:tentative="0">
      <w:start w:val="1"/>
      <w:numFmt w:val="decimal"/>
      <w:suff w:val="nothing"/>
      <w:lvlText w:val="（%1）"/>
      <w:lvlJc w:val="left"/>
      <w:pPr>
        <w:ind w:left="210"/>
      </w:pPr>
    </w:lvl>
  </w:abstractNum>
  <w:abstractNum w:abstractNumId="1">
    <w:nsid w:val="F0D468E8"/>
    <w:multiLevelType w:val="singleLevel"/>
    <w:tmpl w:val="F0D468E8"/>
    <w:lvl w:ilvl="0" w:tentative="0">
      <w:start w:val="1"/>
      <w:numFmt w:val="decimal"/>
      <w:suff w:val="nothing"/>
      <w:lvlText w:val="（%1）"/>
      <w:lvlJc w:val="left"/>
      <w:pPr>
        <w:ind w:left="210"/>
      </w:pPr>
    </w:lvl>
  </w:abstractNum>
  <w:abstractNum w:abstractNumId="2">
    <w:nsid w:val="1081EDEE"/>
    <w:multiLevelType w:val="singleLevel"/>
    <w:tmpl w:val="1081EDEE"/>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Q5MWI4N2QyMTFkMGU2NmI1NzFjNTU1YjA0YTQ5ZmYifQ=="/>
  </w:docVars>
  <w:rsids>
    <w:rsidRoot w:val="00172A27"/>
    <w:rsid w:val="00000451"/>
    <w:rsid w:val="0000108B"/>
    <w:rsid w:val="0000133D"/>
    <w:rsid w:val="00001509"/>
    <w:rsid w:val="000032B2"/>
    <w:rsid w:val="0000363B"/>
    <w:rsid w:val="00004C6C"/>
    <w:rsid w:val="000058BD"/>
    <w:rsid w:val="00006109"/>
    <w:rsid w:val="00006150"/>
    <w:rsid w:val="00006329"/>
    <w:rsid w:val="000063E8"/>
    <w:rsid w:val="00006725"/>
    <w:rsid w:val="0000675E"/>
    <w:rsid w:val="00007CAA"/>
    <w:rsid w:val="00010FE9"/>
    <w:rsid w:val="0001122F"/>
    <w:rsid w:val="00011A4B"/>
    <w:rsid w:val="00012251"/>
    <w:rsid w:val="00012BC3"/>
    <w:rsid w:val="0001337C"/>
    <w:rsid w:val="000138C4"/>
    <w:rsid w:val="00013C1F"/>
    <w:rsid w:val="00013F31"/>
    <w:rsid w:val="000140D8"/>
    <w:rsid w:val="00014530"/>
    <w:rsid w:val="00014BBC"/>
    <w:rsid w:val="00014D13"/>
    <w:rsid w:val="000150EE"/>
    <w:rsid w:val="000168D8"/>
    <w:rsid w:val="000170C8"/>
    <w:rsid w:val="000173F4"/>
    <w:rsid w:val="00020287"/>
    <w:rsid w:val="000202FE"/>
    <w:rsid w:val="00020B5F"/>
    <w:rsid w:val="000211BC"/>
    <w:rsid w:val="0002207B"/>
    <w:rsid w:val="000228A9"/>
    <w:rsid w:val="000232FD"/>
    <w:rsid w:val="00023323"/>
    <w:rsid w:val="000233E4"/>
    <w:rsid w:val="00023495"/>
    <w:rsid w:val="00023777"/>
    <w:rsid w:val="00024130"/>
    <w:rsid w:val="00024584"/>
    <w:rsid w:val="00024962"/>
    <w:rsid w:val="000249AA"/>
    <w:rsid w:val="00025350"/>
    <w:rsid w:val="000253E5"/>
    <w:rsid w:val="00025776"/>
    <w:rsid w:val="00026447"/>
    <w:rsid w:val="00026EAC"/>
    <w:rsid w:val="000270F2"/>
    <w:rsid w:val="00027540"/>
    <w:rsid w:val="00030572"/>
    <w:rsid w:val="00030A97"/>
    <w:rsid w:val="00030CB3"/>
    <w:rsid w:val="000311DD"/>
    <w:rsid w:val="0003206A"/>
    <w:rsid w:val="000326A7"/>
    <w:rsid w:val="00032EA0"/>
    <w:rsid w:val="000331B0"/>
    <w:rsid w:val="000336D4"/>
    <w:rsid w:val="00034FA7"/>
    <w:rsid w:val="0003533D"/>
    <w:rsid w:val="000357E4"/>
    <w:rsid w:val="00035ACA"/>
    <w:rsid w:val="00040447"/>
    <w:rsid w:val="00040494"/>
    <w:rsid w:val="000407F9"/>
    <w:rsid w:val="00040B70"/>
    <w:rsid w:val="00042441"/>
    <w:rsid w:val="00042533"/>
    <w:rsid w:val="00042DBB"/>
    <w:rsid w:val="00042E65"/>
    <w:rsid w:val="0004347C"/>
    <w:rsid w:val="00043907"/>
    <w:rsid w:val="00044F48"/>
    <w:rsid w:val="00047354"/>
    <w:rsid w:val="0004774C"/>
    <w:rsid w:val="00050656"/>
    <w:rsid w:val="00050A19"/>
    <w:rsid w:val="00050AC2"/>
    <w:rsid w:val="00050BBC"/>
    <w:rsid w:val="000510F0"/>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18C"/>
    <w:rsid w:val="00064278"/>
    <w:rsid w:val="000646CA"/>
    <w:rsid w:val="000665C4"/>
    <w:rsid w:val="00066DFF"/>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5F94"/>
    <w:rsid w:val="000760C7"/>
    <w:rsid w:val="00076159"/>
    <w:rsid w:val="0007616C"/>
    <w:rsid w:val="000763B5"/>
    <w:rsid w:val="000763F3"/>
    <w:rsid w:val="000766D2"/>
    <w:rsid w:val="00076801"/>
    <w:rsid w:val="00077577"/>
    <w:rsid w:val="00077607"/>
    <w:rsid w:val="00077756"/>
    <w:rsid w:val="00077B61"/>
    <w:rsid w:val="00077B7F"/>
    <w:rsid w:val="00080823"/>
    <w:rsid w:val="000808C1"/>
    <w:rsid w:val="00080970"/>
    <w:rsid w:val="00080EBB"/>
    <w:rsid w:val="00081671"/>
    <w:rsid w:val="000823C9"/>
    <w:rsid w:val="00082AD4"/>
    <w:rsid w:val="00083E07"/>
    <w:rsid w:val="000842E0"/>
    <w:rsid w:val="00084362"/>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FA"/>
    <w:rsid w:val="00092FE9"/>
    <w:rsid w:val="000936BF"/>
    <w:rsid w:val="0009382F"/>
    <w:rsid w:val="00093A30"/>
    <w:rsid w:val="00094342"/>
    <w:rsid w:val="000945BA"/>
    <w:rsid w:val="00095954"/>
    <w:rsid w:val="00095A13"/>
    <w:rsid w:val="000960BA"/>
    <w:rsid w:val="0009662A"/>
    <w:rsid w:val="0009690D"/>
    <w:rsid w:val="00096DFF"/>
    <w:rsid w:val="000A004F"/>
    <w:rsid w:val="000A0729"/>
    <w:rsid w:val="000A0E69"/>
    <w:rsid w:val="000A1A52"/>
    <w:rsid w:val="000A1F98"/>
    <w:rsid w:val="000A3D58"/>
    <w:rsid w:val="000A3FE3"/>
    <w:rsid w:val="000A47B0"/>
    <w:rsid w:val="000A4851"/>
    <w:rsid w:val="000A49BB"/>
    <w:rsid w:val="000A4F22"/>
    <w:rsid w:val="000A5674"/>
    <w:rsid w:val="000A5A46"/>
    <w:rsid w:val="000A5A94"/>
    <w:rsid w:val="000A5D3A"/>
    <w:rsid w:val="000A7299"/>
    <w:rsid w:val="000A752E"/>
    <w:rsid w:val="000B0E04"/>
    <w:rsid w:val="000B1AFD"/>
    <w:rsid w:val="000B268D"/>
    <w:rsid w:val="000B291B"/>
    <w:rsid w:val="000B456C"/>
    <w:rsid w:val="000B45B9"/>
    <w:rsid w:val="000B47CE"/>
    <w:rsid w:val="000B4B56"/>
    <w:rsid w:val="000B4C62"/>
    <w:rsid w:val="000B541D"/>
    <w:rsid w:val="000B54C1"/>
    <w:rsid w:val="000B5553"/>
    <w:rsid w:val="000B5FE8"/>
    <w:rsid w:val="000B666E"/>
    <w:rsid w:val="000B67C1"/>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23"/>
    <w:rsid w:val="000C5EC0"/>
    <w:rsid w:val="000C6162"/>
    <w:rsid w:val="000C64CC"/>
    <w:rsid w:val="000C6688"/>
    <w:rsid w:val="000C692E"/>
    <w:rsid w:val="000C6B28"/>
    <w:rsid w:val="000C7BEB"/>
    <w:rsid w:val="000D0124"/>
    <w:rsid w:val="000D0536"/>
    <w:rsid w:val="000D11E5"/>
    <w:rsid w:val="000D19E8"/>
    <w:rsid w:val="000D1FA1"/>
    <w:rsid w:val="000D2831"/>
    <w:rsid w:val="000D2834"/>
    <w:rsid w:val="000D2CAC"/>
    <w:rsid w:val="000D34C8"/>
    <w:rsid w:val="000D34FD"/>
    <w:rsid w:val="000D3BE5"/>
    <w:rsid w:val="000D3C37"/>
    <w:rsid w:val="000D453A"/>
    <w:rsid w:val="000D4861"/>
    <w:rsid w:val="000D4AFA"/>
    <w:rsid w:val="000D5568"/>
    <w:rsid w:val="000D5EA6"/>
    <w:rsid w:val="000D5F00"/>
    <w:rsid w:val="000D6C9F"/>
    <w:rsid w:val="000D6E3B"/>
    <w:rsid w:val="000D6F30"/>
    <w:rsid w:val="000D74E4"/>
    <w:rsid w:val="000D7C9D"/>
    <w:rsid w:val="000D7CE0"/>
    <w:rsid w:val="000E170D"/>
    <w:rsid w:val="000E2785"/>
    <w:rsid w:val="000E27BB"/>
    <w:rsid w:val="000E2D86"/>
    <w:rsid w:val="000E3153"/>
    <w:rsid w:val="000E3484"/>
    <w:rsid w:val="000E383D"/>
    <w:rsid w:val="000E386F"/>
    <w:rsid w:val="000E4051"/>
    <w:rsid w:val="000E4139"/>
    <w:rsid w:val="000E4765"/>
    <w:rsid w:val="000E5B7E"/>
    <w:rsid w:val="000E5FF9"/>
    <w:rsid w:val="000E6AE1"/>
    <w:rsid w:val="000E7142"/>
    <w:rsid w:val="000E7632"/>
    <w:rsid w:val="000E7737"/>
    <w:rsid w:val="000E7739"/>
    <w:rsid w:val="000E77EE"/>
    <w:rsid w:val="000F097C"/>
    <w:rsid w:val="000F1604"/>
    <w:rsid w:val="000F287A"/>
    <w:rsid w:val="000F2940"/>
    <w:rsid w:val="000F2AB3"/>
    <w:rsid w:val="000F30DE"/>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4B4"/>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681"/>
    <w:rsid w:val="00123B32"/>
    <w:rsid w:val="00123F7C"/>
    <w:rsid w:val="0012419E"/>
    <w:rsid w:val="001248EF"/>
    <w:rsid w:val="00124AC0"/>
    <w:rsid w:val="00124FC4"/>
    <w:rsid w:val="001252E9"/>
    <w:rsid w:val="001253AB"/>
    <w:rsid w:val="0012574C"/>
    <w:rsid w:val="001259B8"/>
    <w:rsid w:val="001264B9"/>
    <w:rsid w:val="0012693E"/>
    <w:rsid w:val="00126A3A"/>
    <w:rsid w:val="00126DCD"/>
    <w:rsid w:val="00127060"/>
    <w:rsid w:val="0012748E"/>
    <w:rsid w:val="00127B83"/>
    <w:rsid w:val="00131C2D"/>
    <w:rsid w:val="0013202C"/>
    <w:rsid w:val="00132704"/>
    <w:rsid w:val="001327E2"/>
    <w:rsid w:val="00132CBF"/>
    <w:rsid w:val="0013334C"/>
    <w:rsid w:val="00133707"/>
    <w:rsid w:val="00133742"/>
    <w:rsid w:val="00133B70"/>
    <w:rsid w:val="00133E97"/>
    <w:rsid w:val="00134255"/>
    <w:rsid w:val="001350F7"/>
    <w:rsid w:val="00135769"/>
    <w:rsid w:val="00135BE9"/>
    <w:rsid w:val="00135DBF"/>
    <w:rsid w:val="00135E5C"/>
    <w:rsid w:val="00136762"/>
    <w:rsid w:val="00136E33"/>
    <w:rsid w:val="0013773D"/>
    <w:rsid w:val="00137DF5"/>
    <w:rsid w:val="0014042F"/>
    <w:rsid w:val="00140693"/>
    <w:rsid w:val="00140CF8"/>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583"/>
    <w:rsid w:val="00161185"/>
    <w:rsid w:val="00161F4B"/>
    <w:rsid w:val="001620BA"/>
    <w:rsid w:val="001623AC"/>
    <w:rsid w:val="00162BAA"/>
    <w:rsid w:val="00163424"/>
    <w:rsid w:val="00163C40"/>
    <w:rsid w:val="0016488B"/>
    <w:rsid w:val="00165758"/>
    <w:rsid w:val="00165A65"/>
    <w:rsid w:val="00166317"/>
    <w:rsid w:val="00166CC2"/>
    <w:rsid w:val="0016709A"/>
    <w:rsid w:val="00167478"/>
    <w:rsid w:val="00167594"/>
    <w:rsid w:val="00167AB9"/>
    <w:rsid w:val="001702BE"/>
    <w:rsid w:val="001704B3"/>
    <w:rsid w:val="0017059C"/>
    <w:rsid w:val="00170A7A"/>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EFE"/>
    <w:rsid w:val="001741DC"/>
    <w:rsid w:val="00174C4F"/>
    <w:rsid w:val="00174F57"/>
    <w:rsid w:val="00175078"/>
    <w:rsid w:val="001755DC"/>
    <w:rsid w:val="00176271"/>
    <w:rsid w:val="00176AA6"/>
    <w:rsid w:val="00177063"/>
    <w:rsid w:val="00180A47"/>
    <w:rsid w:val="00181C06"/>
    <w:rsid w:val="00181CF1"/>
    <w:rsid w:val="001827B7"/>
    <w:rsid w:val="001827EF"/>
    <w:rsid w:val="00182982"/>
    <w:rsid w:val="001829BC"/>
    <w:rsid w:val="00182D68"/>
    <w:rsid w:val="00183031"/>
    <w:rsid w:val="00183468"/>
    <w:rsid w:val="0018397E"/>
    <w:rsid w:val="00184466"/>
    <w:rsid w:val="00184DBF"/>
    <w:rsid w:val="001852A8"/>
    <w:rsid w:val="0018620A"/>
    <w:rsid w:val="0018679C"/>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027"/>
    <w:rsid w:val="001A128B"/>
    <w:rsid w:val="001A1475"/>
    <w:rsid w:val="001A1F0E"/>
    <w:rsid w:val="001A228A"/>
    <w:rsid w:val="001A2B68"/>
    <w:rsid w:val="001A3335"/>
    <w:rsid w:val="001A473A"/>
    <w:rsid w:val="001A4ED9"/>
    <w:rsid w:val="001A55E4"/>
    <w:rsid w:val="001A5785"/>
    <w:rsid w:val="001A5FD7"/>
    <w:rsid w:val="001A66A6"/>
    <w:rsid w:val="001A6BAF"/>
    <w:rsid w:val="001A6BBB"/>
    <w:rsid w:val="001A79A2"/>
    <w:rsid w:val="001B06A6"/>
    <w:rsid w:val="001B0BA8"/>
    <w:rsid w:val="001B13BF"/>
    <w:rsid w:val="001B16F5"/>
    <w:rsid w:val="001B1C1F"/>
    <w:rsid w:val="001B219B"/>
    <w:rsid w:val="001B2703"/>
    <w:rsid w:val="001B3C01"/>
    <w:rsid w:val="001B3DCD"/>
    <w:rsid w:val="001B433E"/>
    <w:rsid w:val="001B45B9"/>
    <w:rsid w:val="001B46B2"/>
    <w:rsid w:val="001B4725"/>
    <w:rsid w:val="001B48B2"/>
    <w:rsid w:val="001B49DA"/>
    <w:rsid w:val="001B4CA8"/>
    <w:rsid w:val="001B4F9E"/>
    <w:rsid w:val="001B572D"/>
    <w:rsid w:val="001B576E"/>
    <w:rsid w:val="001B5B10"/>
    <w:rsid w:val="001B6025"/>
    <w:rsid w:val="001B6D58"/>
    <w:rsid w:val="001B6FA7"/>
    <w:rsid w:val="001B7A15"/>
    <w:rsid w:val="001B7B69"/>
    <w:rsid w:val="001B7DC1"/>
    <w:rsid w:val="001C08DB"/>
    <w:rsid w:val="001C10BD"/>
    <w:rsid w:val="001C1B5C"/>
    <w:rsid w:val="001C1F01"/>
    <w:rsid w:val="001C2092"/>
    <w:rsid w:val="001C232F"/>
    <w:rsid w:val="001C2544"/>
    <w:rsid w:val="001C2A17"/>
    <w:rsid w:val="001C31F5"/>
    <w:rsid w:val="001C6047"/>
    <w:rsid w:val="001C6698"/>
    <w:rsid w:val="001C6C5B"/>
    <w:rsid w:val="001C7399"/>
    <w:rsid w:val="001C7CE0"/>
    <w:rsid w:val="001D005B"/>
    <w:rsid w:val="001D0947"/>
    <w:rsid w:val="001D11A3"/>
    <w:rsid w:val="001D16F5"/>
    <w:rsid w:val="001D1970"/>
    <w:rsid w:val="001D1D55"/>
    <w:rsid w:val="001D1F13"/>
    <w:rsid w:val="001D21EF"/>
    <w:rsid w:val="001D29A4"/>
    <w:rsid w:val="001D2A27"/>
    <w:rsid w:val="001D2B73"/>
    <w:rsid w:val="001D3136"/>
    <w:rsid w:val="001D330D"/>
    <w:rsid w:val="001D4703"/>
    <w:rsid w:val="001D4AB6"/>
    <w:rsid w:val="001D4AD3"/>
    <w:rsid w:val="001D5281"/>
    <w:rsid w:val="001E17E3"/>
    <w:rsid w:val="001E2052"/>
    <w:rsid w:val="001E2492"/>
    <w:rsid w:val="001E257C"/>
    <w:rsid w:val="001E286C"/>
    <w:rsid w:val="001E2F23"/>
    <w:rsid w:val="001E2F34"/>
    <w:rsid w:val="001E35EE"/>
    <w:rsid w:val="001E3CD1"/>
    <w:rsid w:val="001E4B2C"/>
    <w:rsid w:val="001E504B"/>
    <w:rsid w:val="001E507F"/>
    <w:rsid w:val="001E56C2"/>
    <w:rsid w:val="001E59FB"/>
    <w:rsid w:val="001E798F"/>
    <w:rsid w:val="001E7D2A"/>
    <w:rsid w:val="001E7F81"/>
    <w:rsid w:val="001F0FD1"/>
    <w:rsid w:val="001F1526"/>
    <w:rsid w:val="001F19D1"/>
    <w:rsid w:val="001F1CB9"/>
    <w:rsid w:val="001F1F18"/>
    <w:rsid w:val="001F2F92"/>
    <w:rsid w:val="001F3365"/>
    <w:rsid w:val="001F359C"/>
    <w:rsid w:val="001F554D"/>
    <w:rsid w:val="001F5DA1"/>
    <w:rsid w:val="001F601E"/>
    <w:rsid w:val="001F612E"/>
    <w:rsid w:val="001F689A"/>
    <w:rsid w:val="001F6A92"/>
    <w:rsid w:val="001F77E8"/>
    <w:rsid w:val="002007B5"/>
    <w:rsid w:val="00201A0C"/>
    <w:rsid w:val="00201B0F"/>
    <w:rsid w:val="0020255A"/>
    <w:rsid w:val="00202800"/>
    <w:rsid w:val="00202D33"/>
    <w:rsid w:val="00202E58"/>
    <w:rsid w:val="00202F99"/>
    <w:rsid w:val="002037AA"/>
    <w:rsid w:val="00203C85"/>
    <w:rsid w:val="0020449A"/>
    <w:rsid w:val="00204E9B"/>
    <w:rsid w:val="00205298"/>
    <w:rsid w:val="002055C0"/>
    <w:rsid w:val="0020569E"/>
    <w:rsid w:val="00206698"/>
    <w:rsid w:val="00206736"/>
    <w:rsid w:val="00206854"/>
    <w:rsid w:val="00206C88"/>
    <w:rsid w:val="00210B9C"/>
    <w:rsid w:val="00211185"/>
    <w:rsid w:val="00211A94"/>
    <w:rsid w:val="00211AE1"/>
    <w:rsid w:val="002126F2"/>
    <w:rsid w:val="00212EB9"/>
    <w:rsid w:val="00213478"/>
    <w:rsid w:val="00213F2B"/>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6F6"/>
    <w:rsid w:val="00216E7B"/>
    <w:rsid w:val="00217E1F"/>
    <w:rsid w:val="002200A9"/>
    <w:rsid w:val="002204BC"/>
    <w:rsid w:val="00220966"/>
    <w:rsid w:val="00220F7B"/>
    <w:rsid w:val="002213CE"/>
    <w:rsid w:val="00221AF7"/>
    <w:rsid w:val="00222494"/>
    <w:rsid w:val="00222775"/>
    <w:rsid w:val="00222A31"/>
    <w:rsid w:val="00222CF6"/>
    <w:rsid w:val="00224037"/>
    <w:rsid w:val="002241D3"/>
    <w:rsid w:val="002244E4"/>
    <w:rsid w:val="00224D2A"/>
    <w:rsid w:val="00224D8D"/>
    <w:rsid w:val="0022555A"/>
    <w:rsid w:val="00227214"/>
    <w:rsid w:val="00227DDC"/>
    <w:rsid w:val="0023079F"/>
    <w:rsid w:val="00231135"/>
    <w:rsid w:val="0023142B"/>
    <w:rsid w:val="00231B0B"/>
    <w:rsid w:val="00232555"/>
    <w:rsid w:val="002329A1"/>
    <w:rsid w:val="00233538"/>
    <w:rsid w:val="00234248"/>
    <w:rsid w:val="0023449F"/>
    <w:rsid w:val="002344F5"/>
    <w:rsid w:val="0023454D"/>
    <w:rsid w:val="00234679"/>
    <w:rsid w:val="00235547"/>
    <w:rsid w:val="002359FC"/>
    <w:rsid w:val="002361C8"/>
    <w:rsid w:val="00236690"/>
    <w:rsid w:val="0023669D"/>
    <w:rsid w:val="00237EAE"/>
    <w:rsid w:val="00237FA2"/>
    <w:rsid w:val="002403D5"/>
    <w:rsid w:val="00240C1F"/>
    <w:rsid w:val="00240F55"/>
    <w:rsid w:val="00240F67"/>
    <w:rsid w:val="00241144"/>
    <w:rsid w:val="00241785"/>
    <w:rsid w:val="00242510"/>
    <w:rsid w:val="00242F79"/>
    <w:rsid w:val="0024415B"/>
    <w:rsid w:val="00245565"/>
    <w:rsid w:val="002458C1"/>
    <w:rsid w:val="00245E62"/>
    <w:rsid w:val="002460D0"/>
    <w:rsid w:val="00246357"/>
    <w:rsid w:val="00247101"/>
    <w:rsid w:val="00247422"/>
    <w:rsid w:val="00247BA2"/>
    <w:rsid w:val="002505D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01A3"/>
    <w:rsid w:val="0026119C"/>
    <w:rsid w:val="00261AFE"/>
    <w:rsid w:val="0026212A"/>
    <w:rsid w:val="002621D7"/>
    <w:rsid w:val="00262996"/>
    <w:rsid w:val="00263044"/>
    <w:rsid w:val="002635D0"/>
    <w:rsid w:val="00263759"/>
    <w:rsid w:val="002638BD"/>
    <w:rsid w:val="0026470B"/>
    <w:rsid w:val="0026486D"/>
    <w:rsid w:val="00264C4B"/>
    <w:rsid w:val="00264ED0"/>
    <w:rsid w:val="00265346"/>
    <w:rsid w:val="00266045"/>
    <w:rsid w:val="002660C3"/>
    <w:rsid w:val="00266245"/>
    <w:rsid w:val="00266C21"/>
    <w:rsid w:val="00266DE1"/>
    <w:rsid w:val="002676C2"/>
    <w:rsid w:val="00267A92"/>
    <w:rsid w:val="00267E43"/>
    <w:rsid w:val="00270282"/>
    <w:rsid w:val="00270780"/>
    <w:rsid w:val="00270CF6"/>
    <w:rsid w:val="00271097"/>
    <w:rsid w:val="00271C53"/>
    <w:rsid w:val="0027244F"/>
    <w:rsid w:val="00272A4E"/>
    <w:rsid w:val="00273052"/>
    <w:rsid w:val="002739CE"/>
    <w:rsid w:val="00273C5F"/>
    <w:rsid w:val="00273CF8"/>
    <w:rsid w:val="002741D4"/>
    <w:rsid w:val="002743AC"/>
    <w:rsid w:val="002748E0"/>
    <w:rsid w:val="0027499D"/>
    <w:rsid w:val="002751CA"/>
    <w:rsid w:val="0027544D"/>
    <w:rsid w:val="00276602"/>
    <w:rsid w:val="00277196"/>
    <w:rsid w:val="00277588"/>
    <w:rsid w:val="002775ED"/>
    <w:rsid w:val="002778AB"/>
    <w:rsid w:val="002802A5"/>
    <w:rsid w:val="00280CFB"/>
    <w:rsid w:val="00280D24"/>
    <w:rsid w:val="002815C4"/>
    <w:rsid w:val="00281BCB"/>
    <w:rsid w:val="00281C76"/>
    <w:rsid w:val="0028316D"/>
    <w:rsid w:val="00283296"/>
    <w:rsid w:val="00285262"/>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71F"/>
    <w:rsid w:val="002A3ACA"/>
    <w:rsid w:val="002A4060"/>
    <w:rsid w:val="002A4868"/>
    <w:rsid w:val="002A4A05"/>
    <w:rsid w:val="002A4EB3"/>
    <w:rsid w:val="002A51D9"/>
    <w:rsid w:val="002A525A"/>
    <w:rsid w:val="002A5968"/>
    <w:rsid w:val="002A5CAB"/>
    <w:rsid w:val="002A5D40"/>
    <w:rsid w:val="002A5FCF"/>
    <w:rsid w:val="002A622E"/>
    <w:rsid w:val="002A6424"/>
    <w:rsid w:val="002A64E7"/>
    <w:rsid w:val="002A6AC0"/>
    <w:rsid w:val="002A6F9A"/>
    <w:rsid w:val="002A7748"/>
    <w:rsid w:val="002A7ED3"/>
    <w:rsid w:val="002A7F3B"/>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392"/>
    <w:rsid w:val="002C0A9F"/>
    <w:rsid w:val="002C1AB3"/>
    <w:rsid w:val="002C1BB7"/>
    <w:rsid w:val="002C1FB3"/>
    <w:rsid w:val="002C2665"/>
    <w:rsid w:val="002C28E1"/>
    <w:rsid w:val="002C2A13"/>
    <w:rsid w:val="002C327D"/>
    <w:rsid w:val="002C3890"/>
    <w:rsid w:val="002C3A03"/>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35"/>
    <w:rsid w:val="002D1593"/>
    <w:rsid w:val="002D1A1E"/>
    <w:rsid w:val="002D22A6"/>
    <w:rsid w:val="002D2819"/>
    <w:rsid w:val="002D2CD6"/>
    <w:rsid w:val="002D2F81"/>
    <w:rsid w:val="002D38A3"/>
    <w:rsid w:val="002D3BA3"/>
    <w:rsid w:val="002D43EE"/>
    <w:rsid w:val="002D4658"/>
    <w:rsid w:val="002D4892"/>
    <w:rsid w:val="002D4D06"/>
    <w:rsid w:val="002D4DDE"/>
    <w:rsid w:val="002D4EE7"/>
    <w:rsid w:val="002D4EED"/>
    <w:rsid w:val="002D596E"/>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1505"/>
    <w:rsid w:val="002E201C"/>
    <w:rsid w:val="002E22CA"/>
    <w:rsid w:val="002E236F"/>
    <w:rsid w:val="002E37C5"/>
    <w:rsid w:val="002E3956"/>
    <w:rsid w:val="002E3C08"/>
    <w:rsid w:val="002E3CF2"/>
    <w:rsid w:val="002E3DD4"/>
    <w:rsid w:val="002E41B8"/>
    <w:rsid w:val="002E469E"/>
    <w:rsid w:val="002E4C01"/>
    <w:rsid w:val="002E4D50"/>
    <w:rsid w:val="002E55FF"/>
    <w:rsid w:val="002E587E"/>
    <w:rsid w:val="002E672A"/>
    <w:rsid w:val="002E6853"/>
    <w:rsid w:val="002E6AB3"/>
    <w:rsid w:val="002E763C"/>
    <w:rsid w:val="002E7EC1"/>
    <w:rsid w:val="002E7EE5"/>
    <w:rsid w:val="002F0323"/>
    <w:rsid w:val="002F0DFB"/>
    <w:rsid w:val="002F134F"/>
    <w:rsid w:val="002F1D0B"/>
    <w:rsid w:val="002F1E1D"/>
    <w:rsid w:val="002F1F02"/>
    <w:rsid w:val="002F27E5"/>
    <w:rsid w:val="002F2D81"/>
    <w:rsid w:val="002F2F66"/>
    <w:rsid w:val="002F39D4"/>
    <w:rsid w:val="002F4BA9"/>
    <w:rsid w:val="002F4F45"/>
    <w:rsid w:val="002F541B"/>
    <w:rsid w:val="002F5BFE"/>
    <w:rsid w:val="002F5DA5"/>
    <w:rsid w:val="002F5E17"/>
    <w:rsid w:val="002F63D0"/>
    <w:rsid w:val="002F647C"/>
    <w:rsid w:val="002F6C6B"/>
    <w:rsid w:val="002F6CB0"/>
    <w:rsid w:val="002F6EFF"/>
    <w:rsid w:val="002F7DF0"/>
    <w:rsid w:val="002F7FAF"/>
    <w:rsid w:val="00300573"/>
    <w:rsid w:val="003025FE"/>
    <w:rsid w:val="00302A27"/>
    <w:rsid w:val="0030341F"/>
    <w:rsid w:val="00303AB6"/>
    <w:rsid w:val="00304640"/>
    <w:rsid w:val="00304AC1"/>
    <w:rsid w:val="00305090"/>
    <w:rsid w:val="00305454"/>
    <w:rsid w:val="00305B9F"/>
    <w:rsid w:val="00305E21"/>
    <w:rsid w:val="003066C6"/>
    <w:rsid w:val="003066FA"/>
    <w:rsid w:val="00306AD6"/>
    <w:rsid w:val="003077F4"/>
    <w:rsid w:val="00307CEF"/>
    <w:rsid w:val="00307DC7"/>
    <w:rsid w:val="00307FF2"/>
    <w:rsid w:val="003102B4"/>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699"/>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8EF"/>
    <w:rsid w:val="00334927"/>
    <w:rsid w:val="00335FCB"/>
    <w:rsid w:val="003360AD"/>
    <w:rsid w:val="0033631D"/>
    <w:rsid w:val="003369C7"/>
    <w:rsid w:val="00336ACD"/>
    <w:rsid w:val="003373A6"/>
    <w:rsid w:val="00337409"/>
    <w:rsid w:val="00337E18"/>
    <w:rsid w:val="003405AF"/>
    <w:rsid w:val="0034088F"/>
    <w:rsid w:val="00340B3E"/>
    <w:rsid w:val="003413D2"/>
    <w:rsid w:val="00341525"/>
    <w:rsid w:val="00341B97"/>
    <w:rsid w:val="00342109"/>
    <w:rsid w:val="0034257E"/>
    <w:rsid w:val="003429A1"/>
    <w:rsid w:val="003429FC"/>
    <w:rsid w:val="00343079"/>
    <w:rsid w:val="00343127"/>
    <w:rsid w:val="00343320"/>
    <w:rsid w:val="00343D13"/>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2E74"/>
    <w:rsid w:val="0035455F"/>
    <w:rsid w:val="00355D75"/>
    <w:rsid w:val="00355D8F"/>
    <w:rsid w:val="00356A73"/>
    <w:rsid w:val="00356FF0"/>
    <w:rsid w:val="003577EF"/>
    <w:rsid w:val="00357A60"/>
    <w:rsid w:val="00360304"/>
    <w:rsid w:val="00360A78"/>
    <w:rsid w:val="00360CE2"/>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67F0C"/>
    <w:rsid w:val="00370095"/>
    <w:rsid w:val="003703BB"/>
    <w:rsid w:val="003705EA"/>
    <w:rsid w:val="00370A56"/>
    <w:rsid w:val="00370BEE"/>
    <w:rsid w:val="00371213"/>
    <w:rsid w:val="00372842"/>
    <w:rsid w:val="00372864"/>
    <w:rsid w:val="003729A5"/>
    <w:rsid w:val="00372C89"/>
    <w:rsid w:val="00372E9A"/>
    <w:rsid w:val="00372F4C"/>
    <w:rsid w:val="003735B9"/>
    <w:rsid w:val="00373634"/>
    <w:rsid w:val="00373AB1"/>
    <w:rsid w:val="00374677"/>
    <w:rsid w:val="00374707"/>
    <w:rsid w:val="0037510C"/>
    <w:rsid w:val="00375850"/>
    <w:rsid w:val="0037632F"/>
    <w:rsid w:val="00377B26"/>
    <w:rsid w:val="00380966"/>
    <w:rsid w:val="00381014"/>
    <w:rsid w:val="00381604"/>
    <w:rsid w:val="00381C68"/>
    <w:rsid w:val="00381F60"/>
    <w:rsid w:val="00383204"/>
    <w:rsid w:val="00383AB0"/>
    <w:rsid w:val="003846E6"/>
    <w:rsid w:val="003847BB"/>
    <w:rsid w:val="00384814"/>
    <w:rsid w:val="00384C0A"/>
    <w:rsid w:val="00385B16"/>
    <w:rsid w:val="00385B96"/>
    <w:rsid w:val="0038637D"/>
    <w:rsid w:val="003868F6"/>
    <w:rsid w:val="003869DC"/>
    <w:rsid w:val="00386C07"/>
    <w:rsid w:val="00386F58"/>
    <w:rsid w:val="0038700D"/>
    <w:rsid w:val="003879CE"/>
    <w:rsid w:val="00387B88"/>
    <w:rsid w:val="00390420"/>
    <w:rsid w:val="00390B8F"/>
    <w:rsid w:val="00390C0D"/>
    <w:rsid w:val="00391447"/>
    <w:rsid w:val="003919D9"/>
    <w:rsid w:val="00391B70"/>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76B"/>
    <w:rsid w:val="003A7E2B"/>
    <w:rsid w:val="003A7E40"/>
    <w:rsid w:val="003B0336"/>
    <w:rsid w:val="003B0A3A"/>
    <w:rsid w:val="003B0D79"/>
    <w:rsid w:val="003B1E5F"/>
    <w:rsid w:val="003B2554"/>
    <w:rsid w:val="003B2930"/>
    <w:rsid w:val="003B31A7"/>
    <w:rsid w:val="003B4587"/>
    <w:rsid w:val="003B4B51"/>
    <w:rsid w:val="003B4FE1"/>
    <w:rsid w:val="003B514E"/>
    <w:rsid w:val="003B5531"/>
    <w:rsid w:val="003B636A"/>
    <w:rsid w:val="003B68DE"/>
    <w:rsid w:val="003B69CE"/>
    <w:rsid w:val="003B7403"/>
    <w:rsid w:val="003C011C"/>
    <w:rsid w:val="003C0161"/>
    <w:rsid w:val="003C0705"/>
    <w:rsid w:val="003C0E32"/>
    <w:rsid w:val="003C11D7"/>
    <w:rsid w:val="003C16CB"/>
    <w:rsid w:val="003C1B97"/>
    <w:rsid w:val="003C247B"/>
    <w:rsid w:val="003C3292"/>
    <w:rsid w:val="003C3C1E"/>
    <w:rsid w:val="003C3D88"/>
    <w:rsid w:val="003C4134"/>
    <w:rsid w:val="003C435B"/>
    <w:rsid w:val="003C4EBE"/>
    <w:rsid w:val="003C5699"/>
    <w:rsid w:val="003C5F57"/>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4E1C"/>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E7F92"/>
    <w:rsid w:val="003F01BD"/>
    <w:rsid w:val="003F0486"/>
    <w:rsid w:val="003F048E"/>
    <w:rsid w:val="003F09FA"/>
    <w:rsid w:val="003F0AFF"/>
    <w:rsid w:val="003F1AA2"/>
    <w:rsid w:val="003F26DC"/>
    <w:rsid w:val="003F42FF"/>
    <w:rsid w:val="003F4B48"/>
    <w:rsid w:val="003F4DDC"/>
    <w:rsid w:val="003F4E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58BA"/>
    <w:rsid w:val="00406745"/>
    <w:rsid w:val="0040674B"/>
    <w:rsid w:val="00406B32"/>
    <w:rsid w:val="004074FA"/>
    <w:rsid w:val="00407A56"/>
    <w:rsid w:val="00407E04"/>
    <w:rsid w:val="00407FCC"/>
    <w:rsid w:val="0041035A"/>
    <w:rsid w:val="00410463"/>
    <w:rsid w:val="00410CEF"/>
    <w:rsid w:val="00410E76"/>
    <w:rsid w:val="004112D1"/>
    <w:rsid w:val="00411320"/>
    <w:rsid w:val="004113C9"/>
    <w:rsid w:val="00411D1E"/>
    <w:rsid w:val="00411DF2"/>
    <w:rsid w:val="004120DF"/>
    <w:rsid w:val="004124B7"/>
    <w:rsid w:val="004126B5"/>
    <w:rsid w:val="00414886"/>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1"/>
    <w:rsid w:val="00424446"/>
    <w:rsid w:val="00424867"/>
    <w:rsid w:val="00425341"/>
    <w:rsid w:val="004255FE"/>
    <w:rsid w:val="00425674"/>
    <w:rsid w:val="00425A82"/>
    <w:rsid w:val="00425C60"/>
    <w:rsid w:val="00426B2C"/>
    <w:rsid w:val="00427FA8"/>
    <w:rsid w:val="0043009D"/>
    <w:rsid w:val="0043026B"/>
    <w:rsid w:val="00430299"/>
    <w:rsid w:val="004306D4"/>
    <w:rsid w:val="004306E3"/>
    <w:rsid w:val="00430B7D"/>
    <w:rsid w:val="00431976"/>
    <w:rsid w:val="00431A2A"/>
    <w:rsid w:val="00432ECA"/>
    <w:rsid w:val="00435499"/>
    <w:rsid w:val="0043554E"/>
    <w:rsid w:val="004355D4"/>
    <w:rsid w:val="00435771"/>
    <w:rsid w:val="004357B1"/>
    <w:rsid w:val="00435821"/>
    <w:rsid w:val="0043583E"/>
    <w:rsid w:val="00435B95"/>
    <w:rsid w:val="00436CCE"/>
    <w:rsid w:val="00436EAD"/>
    <w:rsid w:val="004375E1"/>
    <w:rsid w:val="00437A2F"/>
    <w:rsid w:val="00440262"/>
    <w:rsid w:val="004406BF"/>
    <w:rsid w:val="00440814"/>
    <w:rsid w:val="0044105D"/>
    <w:rsid w:val="00441424"/>
    <w:rsid w:val="00441592"/>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F34"/>
    <w:rsid w:val="004570EF"/>
    <w:rsid w:val="0045731A"/>
    <w:rsid w:val="00457517"/>
    <w:rsid w:val="00457CF7"/>
    <w:rsid w:val="00457D37"/>
    <w:rsid w:val="00460154"/>
    <w:rsid w:val="0046028A"/>
    <w:rsid w:val="004604A2"/>
    <w:rsid w:val="00460E3A"/>
    <w:rsid w:val="00460E68"/>
    <w:rsid w:val="004614BC"/>
    <w:rsid w:val="004619A5"/>
    <w:rsid w:val="00461B6D"/>
    <w:rsid w:val="00461F80"/>
    <w:rsid w:val="0046240D"/>
    <w:rsid w:val="00462898"/>
    <w:rsid w:val="00462D84"/>
    <w:rsid w:val="004630CC"/>
    <w:rsid w:val="00463208"/>
    <w:rsid w:val="00463576"/>
    <w:rsid w:val="004636D6"/>
    <w:rsid w:val="0046399D"/>
    <w:rsid w:val="00463EA4"/>
    <w:rsid w:val="00465A21"/>
    <w:rsid w:val="00465DE5"/>
    <w:rsid w:val="00466978"/>
    <w:rsid w:val="00466A21"/>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D93"/>
    <w:rsid w:val="00476F97"/>
    <w:rsid w:val="00477247"/>
    <w:rsid w:val="004776BB"/>
    <w:rsid w:val="004776FB"/>
    <w:rsid w:val="0048055E"/>
    <w:rsid w:val="00480C2B"/>
    <w:rsid w:val="00480DC5"/>
    <w:rsid w:val="00480FD9"/>
    <w:rsid w:val="0048131D"/>
    <w:rsid w:val="0048147B"/>
    <w:rsid w:val="00481D0B"/>
    <w:rsid w:val="004824A9"/>
    <w:rsid w:val="00483091"/>
    <w:rsid w:val="00483140"/>
    <w:rsid w:val="00483984"/>
    <w:rsid w:val="00483BC7"/>
    <w:rsid w:val="00483CF0"/>
    <w:rsid w:val="00484D4D"/>
    <w:rsid w:val="00486516"/>
    <w:rsid w:val="0048664F"/>
    <w:rsid w:val="004868AD"/>
    <w:rsid w:val="00486D00"/>
    <w:rsid w:val="00486F39"/>
    <w:rsid w:val="00487653"/>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580E"/>
    <w:rsid w:val="004A6110"/>
    <w:rsid w:val="004A61B8"/>
    <w:rsid w:val="004A6415"/>
    <w:rsid w:val="004A64F9"/>
    <w:rsid w:val="004A65F4"/>
    <w:rsid w:val="004A6D2C"/>
    <w:rsid w:val="004B026C"/>
    <w:rsid w:val="004B0271"/>
    <w:rsid w:val="004B0B2D"/>
    <w:rsid w:val="004B0BE8"/>
    <w:rsid w:val="004B0E4A"/>
    <w:rsid w:val="004B1020"/>
    <w:rsid w:val="004B18F4"/>
    <w:rsid w:val="004B1A98"/>
    <w:rsid w:val="004B2463"/>
    <w:rsid w:val="004B2E9D"/>
    <w:rsid w:val="004B305F"/>
    <w:rsid w:val="004B34C4"/>
    <w:rsid w:val="004B34E8"/>
    <w:rsid w:val="004B3981"/>
    <w:rsid w:val="004B3A03"/>
    <w:rsid w:val="004B419F"/>
    <w:rsid w:val="004B4EA9"/>
    <w:rsid w:val="004B5C96"/>
    <w:rsid w:val="004B6124"/>
    <w:rsid w:val="004B6987"/>
    <w:rsid w:val="004B6A46"/>
    <w:rsid w:val="004B6E50"/>
    <w:rsid w:val="004B728F"/>
    <w:rsid w:val="004B7317"/>
    <w:rsid w:val="004B75B2"/>
    <w:rsid w:val="004B75C6"/>
    <w:rsid w:val="004B78AF"/>
    <w:rsid w:val="004B7F87"/>
    <w:rsid w:val="004C02C5"/>
    <w:rsid w:val="004C0BF0"/>
    <w:rsid w:val="004C0D40"/>
    <w:rsid w:val="004C114F"/>
    <w:rsid w:val="004C11A9"/>
    <w:rsid w:val="004C1F69"/>
    <w:rsid w:val="004C27CF"/>
    <w:rsid w:val="004C2CA7"/>
    <w:rsid w:val="004C3592"/>
    <w:rsid w:val="004C45C8"/>
    <w:rsid w:val="004C4F8F"/>
    <w:rsid w:val="004C5F4B"/>
    <w:rsid w:val="004C612E"/>
    <w:rsid w:val="004C61B8"/>
    <w:rsid w:val="004C62FA"/>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3FF"/>
    <w:rsid w:val="004D3468"/>
    <w:rsid w:val="004D34D1"/>
    <w:rsid w:val="004D4523"/>
    <w:rsid w:val="004D4990"/>
    <w:rsid w:val="004D51D6"/>
    <w:rsid w:val="004D6603"/>
    <w:rsid w:val="004D6BF2"/>
    <w:rsid w:val="004D6F29"/>
    <w:rsid w:val="004D7BF5"/>
    <w:rsid w:val="004D7F9C"/>
    <w:rsid w:val="004E03F4"/>
    <w:rsid w:val="004E068F"/>
    <w:rsid w:val="004E0860"/>
    <w:rsid w:val="004E09CF"/>
    <w:rsid w:val="004E0B75"/>
    <w:rsid w:val="004E0C29"/>
    <w:rsid w:val="004E0DC4"/>
    <w:rsid w:val="004E109C"/>
    <w:rsid w:val="004E15D6"/>
    <w:rsid w:val="004E1D6F"/>
    <w:rsid w:val="004E1DF3"/>
    <w:rsid w:val="004E2393"/>
    <w:rsid w:val="004E3117"/>
    <w:rsid w:val="004E3A2A"/>
    <w:rsid w:val="004E3AB1"/>
    <w:rsid w:val="004E3D83"/>
    <w:rsid w:val="004E4003"/>
    <w:rsid w:val="004E4626"/>
    <w:rsid w:val="004E4984"/>
    <w:rsid w:val="004E5101"/>
    <w:rsid w:val="004E5380"/>
    <w:rsid w:val="004E6746"/>
    <w:rsid w:val="004E6CAC"/>
    <w:rsid w:val="004E6F69"/>
    <w:rsid w:val="004E75C1"/>
    <w:rsid w:val="004E76EB"/>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22D"/>
    <w:rsid w:val="004F531B"/>
    <w:rsid w:val="004F560C"/>
    <w:rsid w:val="004F5690"/>
    <w:rsid w:val="004F5DBB"/>
    <w:rsid w:val="004F60B4"/>
    <w:rsid w:val="004F61A3"/>
    <w:rsid w:val="004F6874"/>
    <w:rsid w:val="004F7922"/>
    <w:rsid w:val="004F7A1F"/>
    <w:rsid w:val="004F7B47"/>
    <w:rsid w:val="0050079C"/>
    <w:rsid w:val="0050106A"/>
    <w:rsid w:val="005010BC"/>
    <w:rsid w:val="00501848"/>
    <w:rsid w:val="005025FD"/>
    <w:rsid w:val="00502B31"/>
    <w:rsid w:val="0050368B"/>
    <w:rsid w:val="00503BE4"/>
    <w:rsid w:val="0050434C"/>
    <w:rsid w:val="0050537D"/>
    <w:rsid w:val="0050591C"/>
    <w:rsid w:val="005059BD"/>
    <w:rsid w:val="005060AE"/>
    <w:rsid w:val="005076C3"/>
    <w:rsid w:val="0050790B"/>
    <w:rsid w:val="00507FDF"/>
    <w:rsid w:val="0051037C"/>
    <w:rsid w:val="0051050F"/>
    <w:rsid w:val="0051058B"/>
    <w:rsid w:val="00510DDC"/>
    <w:rsid w:val="00511126"/>
    <w:rsid w:val="00511166"/>
    <w:rsid w:val="00512217"/>
    <w:rsid w:val="00512459"/>
    <w:rsid w:val="005131A2"/>
    <w:rsid w:val="005137E4"/>
    <w:rsid w:val="00513BB9"/>
    <w:rsid w:val="0051440E"/>
    <w:rsid w:val="00514480"/>
    <w:rsid w:val="005148CD"/>
    <w:rsid w:val="005150A6"/>
    <w:rsid w:val="00515180"/>
    <w:rsid w:val="00515973"/>
    <w:rsid w:val="00516069"/>
    <w:rsid w:val="00516BC4"/>
    <w:rsid w:val="00517AC8"/>
    <w:rsid w:val="00517C3E"/>
    <w:rsid w:val="005207D8"/>
    <w:rsid w:val="0052091D"/>
    <w:rsid w:val="005212F4"/>
    <w:rsid w:val="00521908"/>
    <w:rsid w:val="0052219C"/>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058F"/>
    <w:rsid w:val="0053067C"/>
    <w:rsid w:val="00531064"/>
    <w:rsid w:val="005312CB"/>
    <w:rsid w:val="005313B2"/>
    <w:rsid w:val="00531911"/>
    <w:rsid w:val="00531E92"/>
    <w:rsid w:val="005324D7"/>
    <w:rsid w:val="005326F0"/>
    <w:rsid w:val="00532764"/>
    <w:rsid w:val="00532AA5"/>
    <w:rsid w:val="00532C5F"/>
    <w:rsid w:val="00532D0E"/>
    <w:rsid w:val="00533233"/>
    <w:rsid w:val="005335A2"/>
    <w:rsid w:val="00533D13"/>
    <w:rsid w:val="00533DEC"/>
    <w:rsid w:val="00534026"/>
    <w:rsid w:val="00534D55"/>
    <w:rsid w:val="00535B53"/>
    <w:rsid w:val="00536498"/>
    <w:rsid w:val="00536B03"/>
    <w:rsid w:val="00537456"/>
    <w:rsid w:val="00537591"/>
    <w:rsid w:val="0053790C"/>
    <w:rsid w:val="00537B3D"/>
    <w:rsid w:val="00537EDA"/>
    <w:rsid w:val="00540401"/>
    <w:rsid w:val="005405B2"/>
    <w:rsid w:val="0054076A"/>
    <w:rsid w:val="00540D47"/>
    <w:rsid w:val="00540EE7"/>
    <w:rsid w:val="00541A22"/>
    <w:rsid w:val="00541EAD"/>
    <w:rsid w:val="005424C2"/>
    <w:rsid w:val="005426B2"/>
    <w:rsid w:val="005426DD"/>
    <w:rsid w:val="00543519"/>
    <w:rsid w:val="00543640"/>
    <w:rsid w:val="00544019"/>
    <w:rsid w:val="005444C6"/>
    <w:rsid w:val="00544BF9"/>
    <w:rsid w:val="00544F05"/>
    <w:rsid w:val="00544FCC"/>
    <w:rsid w:val="00545051"/>
    <w:rsid w:val="005454B8"/>
    <w:rsid w:val="00545ACB"/>
    <w:rsid w:val="00545DB9"/>
    <w:rsid w:val="005462ED"/>
    <w:rsid w:val="00546585"/>
    <w:rsid w:val="0054680A"/>
    <w:rsid w:val="00546BF8"/>
    <w:rsid w:val="00546F94"/>
    <w:rsid w:val="00547BA2"/>
    <w:rsid w:val="00550AC5"/>
    <w:rsid w:val="00550B7E"/>
    <w:rsid w:val="00550DDB"/>
    <w:rsid w:val="00551052"/>
    <w:rsid w:val="005524ED"/>
    <w:rsid w:val="00553F91"/>
    <w:rsid w:val="00554007"/>
    <w:rsid w:val="00554C03"/>
    <w:rsid w:val="00554C58"/>
    <w:rsid w:val="00554D5D"/>
    <w:rsid w:val="005550F9"/>
    <w:rsid w:val="00555B4D"/>
    <w:rsid w:val="005560C6"/>
    <w:rsid w:val="00556338"/>
    <w:rsid w:val="00556441"/>
    <w:rsid w:val="00557031"/>
    <w:rsid w:val="00557DB6"/>
    <w:rsid w:val="00557F87"/>
    <w:rsid w:val="00560FCB"/>
    <w:rsid w:val="00561001"/>
    <w:rsid w:val="0056111C"/>
    <w:rsid w:val="00561140"/>
    <w:rsid w:val="0056134E"/>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0B1"/>
    <w:rsid w:val="00567623"/>
    <w:rsid w:val="005701C2"/>
    <w:rsid w:val="00570763"/>
    <w:rsid w:val="00571B62"/>
    <w:rsid w:val="0057200B"/>
    <w:rsid w:val="00572297"/>
    <w:rsid w:val="0057344A"/>
    <w:rsid w:val="0057345D"/>
    <w:rsid w:val="0057347D"/>
    <w:rsid w:val="00573560"/>
    <w:rsid w:val="00574B3F"/>
    <w:rsid w:val="00574E7B"/>
    <w:rsid w:val="00574F36"/>
    <w:rsid w:val="00576B5C"/>
    <w:rsid w:val="005770CC"/>
    <w:rsid w:val="00577A4D"/>
    <w:rsid w:val="005802F9"/>
    <w:rsid w:val="005806D5"/>
    <w:rsid w:val="00580DFC"/>
    <w:rsid w:val="0058134C"/>
    <w:rsid w:val="005815CD"/>
    <w:rsid w:val="00582022"/>
    <w:rsid w:val="005827A7"/>
    <w:rsid w:val="00583C39"/>
    <w:rsid w:val="00583D43"/>
    <w:rsid w:val="005846C3"/>
    <w:rsid w:val="00584F04"/>
    <w:rsid w:val="0058544C"/>
    <w:rsid w:val="00585623"/>
    <w:rsid w:val="005857F7"/>
    <w:rsid w:val="005865E9"/>
    <w:rsid w:val="005868FD"/>
    <w:rsid w:val="00587D7B"/>
    <w:rsid w:val="005904DB"/>
    <w:rsid w:val="005905ED"/>
    <w:rsid w:val="00590D11"/>
    <w:rsid w:val="00590E9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27C"/>
    <w:rsid w:val="005A4C20"/>
    <w:rsid w:val="005A4F48"/>
    <w:rsid w:val="005A54F1"/>
    <w:rsid w:val="005A57B8"/>
    <w:rsid w:val="005A5DDE"/>
    <w:rsid w:val="005A64A8"/>
    <w:rsid w:val="005A65C5"/>
    <w:rsid w:val="005A66F8"/>
    <w:rsid w:val="005A6875"/>
    <w:rsid w:val="005A7016"/>
    <w:rsid w:val="005A7A32"/>
    <w:rsid w:val="005A7F85"/>
    <w:rsid w:val="005B00DD"/>
    <w:rsid w:val="005B0378"/>
    <w:rsid w:val="005B03B1"/>
    <w:rsid w:val="005B07D5"/>
    <w:rsid w:val="005B1A8A"/>
    <w:rsid w:val="005B1AAB"/>
    <w:rsid w:val="005B2578"/>
    <w:rsid w:val="005B2930"/>
    <w:rsid w:val="005B2B87"/>
    <w:rsid w:val="005B2FAA"/>
    <w:rsid w:val="005B33C8"/>
    <w:rsid w:val="005B387B"/>
    <w:rsid w:val="005B3881"/>
    <w:rsid w:val="005B3B01"/>
    <w:rsid w:val="005B3FB1"/>
    <w:rsid w:val="005B4333"/>
    <w:rsid w:val="005B48BE"/>
    <w:rsid w:val="005B5028"/>
    <w:rsid w:val="005B58F7"/>
    <w:rsid w:val="005B592B"/>
    <w:rsid w:val="005B5981"/>
    <w:rsid w:val="005B5994"/>
    <w:rsid w:val="005B6474"/>
    <w:rsid w:val="005B666D"/>
    <w:rsid w:val="005B667A"/>
    <w:rsid w:val="005B6865"/>
    <w:rsid w:val="005B7355"/>
    <w:rsid w:val="005C039B"/>
    <w:rsid w:val="005C059F"/>
    <w:rsid w:val="005C07CE"/>
    <w:rsid w:val="005C0B8F"/>
    <w:rsid w:val="005C194E"/>
    <w:rsid w:val="005C1C3F"/>
    <w:rsid w:val="005C1C83"/>
    <w:rsid w:val="005C1DB1"/>
    <w:rsid w:val="005C226F"/>
    <w:rsid w:val="005C2294"/>
    <w:rsid w:val="005C23A2"/>
    <w:rsid w:val="005C2E48"/>
    <w:rsid w:val="005C3344"/>
    <w:rsid w:val="005C429E"/>
    <w:rsid w:val="005C4E4D"/>
    <w:rsid w:val="005C58F2"/>
    <w:rsid w:val="005C5A97"/>
    <w:rsid w:val="005C5F77"/>
    <w:rsid w:val="005C6AAB"/>
    <w:rsid w:val="005C6D5D"/>
    <w:rsid w:val="005C6FD0"/>
    <w:rsid w:val="005D01C3"/>
    <w:rsid w:val="005D05FF"/>
    <w:rsid w:val="005D0FB4"/>
    <w:rsid w:val="005D1176"/>
    <w:rsid w:val="005D1251"/>
    <w:rsid w:val="005D1747"/>
    <w:rsid w:val="005D266D"/>
    <w:rsid w:val="005D306D"/>
    <w:rsid w:val="005D3327"/>
    <w:rsid w:val="005D4854"/>
    <w:rsid w:val="005D5BCF"/>
    <w:rsid w:val="005D65BF"/>
    <w:rsid w:val="005D6CB0"/>
    <w:rsid w:val="005D6D84"/>
    <w:rsid w:val="005D70A1"/>
    <w:rsid w:val="005D79F2"/>
    <w:rsid w:val="005D7CB1"/>
    <w:rsid w:val="005D7F57"/>
    <w:rsid w:val="005E0067"/>
    <w:rsid w:val="005E0141"/>
    <w:rsid w:val="005E09CA"/>
    <w:rsid w:val="005E0FC8"/>
    <w:rsid w:val="005E1658"/>
    <w:rsid w:val="005E1AB4"/>
    <w:rsid w:val="005E255B"/>
    <w:rsid w:val="005E2CF7"/>
    <w:rsid w:val="005E39D7"/>
    <w:rsid w:val="005E4543"/>
    <w:rsid w:val="005E4A1C"/>
    <w:rsid w:val="005E56C9"/>
    <w:rsid w:val="005E5CF7"/>
    <w:rsid w:val="005E5FF0"/>
    <w:rsid w:val="005E63A1"/>
    <w:rsid w:val="005E642A"/>
    <w:rsid w:val="005E65A7"/>
    <w:rsid w:val="005E721E"/>
    <w:rsid w:val="005F0857"/>
    <w:rsid w:val="005F1470"/>
    <w:rsid w:val="005F15A9"/>
    <w:rsid w:val="005F2807"/>
    <w:rsid w:val="005F2CD5"/>
    <w:rsid w:val="005F327B"/>
    <w:rsid w:val="005F3382"/>
    <w:rsid w:val="005F3720"/>
    <w:rsid w:val="005F5506"/>
    <w:rsid w:val="005F5A0D"/>
    <w:rsid w:val="005F5CE4"/>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3DA0"/>
    <w:rsid w:val="006042CD"/>
    <w:rsid w:val="0060456E"/>
    <w:rsid w:val="00605217"/>
    <w:rsid w:val="006054A5"/>
    <w:rsid w:val="006059E4"/>
    <w:rsid w:val="00605D60"/>
    <w:rsid w:val="00606050"/>
    <w:rsid w:val="006062A0"/>
    <w:rsid w:val="00607015"/>
    <w:rsid w:val="0061098D"/>
    <w:rsid w:val="00610B78"/>
    <w:rsid w:val="00611290"/>
    <w:rsid w:val="00611B59"/>
    <w:rsid w:val="00611FBA"/>
    <w:rsid w:val="00612098"/>
    <w:rsid w:val="0061272A"/>
    <w:rsid w:val="00612BE8"/>
    <w:rsid w:val="006130D0"/>
    <w:rsid w:val="0061355D"/>
    <w:rsid w:val="006139F7"/>
    <w:rsid w:val="00613AA2"/>
    <w:rsid w:val="00614906"/>
    <w:rsid w:val="0061517F"/>
    <w:rsid w:val="00615276"/>
    <w:rsid w:val="006155F1"/>
    <w:rsid w:val="00615846"/>
    <w:rsid w:val="006160F0"/>
    <w:rsid w:val="0061618F"/>
    <w:rsid w:val="0061624B"/>
    <w:rsid w:val="006166AD"/>
    <w:rsid w:val="00616939"/>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F91"/>
    <w:rsid w:val="00626360"/>
    <w:rsid w:val="00626710"/>
    <w:rsid w:val="00626930"/>
    <w:rsid w:val="00626AD3"/>
    <w:rsid w:val="00626BAC"/>
    <w:rsid w:val="006271C3"/>
    <w:rsid w:val="0062726D"/>
    <w:rsid w:val="00627B14"/>
    <w:rsid w:val="0063001E"/>
    <w:rsid w:val="00630023"/>
    <w:rsid w:val="006308EE"/>
    <w:rsid w:val="00630995"/>
    <w:rsid w:val="00630C70"/>
    <w:rsid w:val="00630D67"/>
    <w:rsid w:val="00631005"/>
    <w:rsid w:val="00631529"/>
    <w:rsid w:val="00631C79"/>
    <w:rsid w:val="00632727"/>
    <w:rsid w:val="0063283D"/>
    <w:rsid w:val="00633466"/>
    <w:rsid w:val="00633769"/>
    <w:rsid w:val="00633FE3"/>
    <w:rsid w:val="00634276"/>
    <w:rsid w:val="00634570"/>
    <w:rsid w:val="0063487C"/>
    <w:rsid w:val="00635B73"/>
    <w:rsid w:val="00635BB7"/>
    <w:rsid w:val="00636CC7"/>
    <w:rsid w:val="00637F27"/>
    <w:rsid w:val="006405EC"/>
    <w:rsid w:val="00640A4D"/>
    <w:rsid w:val="00640BF9"/>
    <w:rsid w:val="006418F2"/>
    <w:rsid w:val="00641A84"/>
    <w:rsid w:val="00641B05"/>
    <w:rsid w:val="00641DA1"/>
    <w:rsid w:val="00641E5B"/>
    <w:rsid w:val="006422D4"/>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A83"/>
    <w:rsid w:val="00652CF5"/>
    <w:rsid w:val="0065343E"/>
    <w:rsid w:val="006534EB"/>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61A"/>
    <w:rsid w:val="00663D15"/>
    <w:rsid w:val="00665030"/>
    <w:rsid w:val="00665670"/>
    <w:rsid w:val="006659EA"/>
    <w:rsid w:val="00665A41"/>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30F"/>
    <w:rsid w:val="006750BE"/>
    <w:rsid w:val="006753AC"/>
    <w:rsid w:val="00675430"/>
    <w:rsid w:val="006755F0"/>
    <w:rsid w:val="00675749"/>
    <w:rsid w:val="00675858"/>
    <w:rsid w:val="006759FE"/>
    <w:rsid w:val="00677382"/>
    <w:rsid w:val="0067772D"/>
    <w:rsid w:val="00677991"/>
    <w:rsid w:val="00677AD2"/>
    <w:rsid w:val="00680326"/>
    <w:rsid w:val="00680714"/>
    <w:rsid w:val="0068071D"/>
    <w:rsid w:val="00680BDF"/>
    <w:rsid w:val="00680C6B"/>
    <w:rsid w:val="006811F3"/>
    <w:rsid w:val="00681240"/>
    <w:rsid w:val="00683068"/>
    <w:rsid w:val="00683DAD"/>
    <w:rsid w:val="00683FF0"/>
    <w:rsid w:val="00684592"/>
    <w:rsid w:val="00684963"/>
    <w:rsid w:val="00685033"/>
    <w:rsid w:val="0068517F"/>
    <w:rsid w:val="00685D65"/>
    <w:rsid w:val="00685FC8"/>
    <w:rsid w:val="00686E80"/>
    <w:rsid w:val="00686FE6"/>
    <w:rsid w:val="006875BA"/>
    <w:rsid w:val="0068790B"/>
    <w:rsid w:val="00687AF2"/>
    <w:rsid w:val="006901AC"/>
    <w:rsid w:val="0069088A"/>
    <w:rsid w:val="00690C8D"/>
    <w:rsid w:val="00691890"/>
    <w:rsid w:val="00691AAD"/>
    <w:rsid w:val="00692416"/>
    <w:rsid w:val="0069296F"/>
    <w:rsid w:val="00692AFF"/>
    <w:rsid w:val="00692D2D"/>
    <w:rsid w:val="00693B73"/>
    <w:rsid w:val="006945A1"/>
    <w:rsid w:val="00694A53"/>
    <w:rsid w:val="006952DE"/>
    <w:rsid w:val="006957E0"/>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3A"/>
    <w:rsid w:val="006A4321"/>
    <w:rsid w:val="006A46C0"/>
    <w:rsid w:val="006A4E20"/>
    <w:rsid w:val="006A4F11"/>
    <w:rsid w:val="006A563C"/>
    <w:rsid w:val="006A5A6F"/>
    <w:rsid w:val="006A5F7E"/>
    <w:rsid w:val="006A6786"/>
    <w:rsid w:val="006A6C8F"/>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E83"/>
    <w:rsid w:val="006B7F74"/>
    <w:rsid w:val="006C0230"/>
    <w:rsid w:val="006C05C7"/>
    <w:rsid w:val="006C0E4A"/>
    <w:rsid w:val="006C1783"/>
    <w:rsid w:val="006C25AB"/>
    <w:rsid w:val="006C2DA6"/>
    <w:rsid w:val="006C3581"/>
    <w:rsid w:val="006C3887"/>
    <w:rsid w:val="006C39A0"/>
    <w:rsid w:val="006C3EFE"/>
    <w:rsid w:val="006C46C7"/>
    <w:rsid w:val="006C4767"/>
    <w:rsid w:val="006C4A1A"/>
    <w:rsid w:val="006C4D02"/>
    <w:rsid w:val="006C53A4"/>
    <w:rsid w:val="006C54DF"/>
    <w:rsid w:val="006C5D5D"/>
    <w:rsid w:val="006C627E"/>
    <w:rsid w:val="006C6303"/>
    <w:rsid w:val="006C6A51"/>
    <w:rsid w:val="006C6AC2"/>
    <w:rsid w:val="006C6EBD"/>
    <w:rsid w:val="006C7E04"/>
    <w:rsid w:val="006C7F79"/>
    <w:rsid w:val="006D0004"/>
    <w:rsid w:val="006D015F"/>
    <w:rsid w:val="006D060E"/>
    <w:rsid w:val="006D0681"/>
    <w:rsid w:val="006D0A80"/>
    <w:rsid w:val="006D0AE8"/>
    <w:rsid w:val="006D135C"/>
    <w:rsid w:val="006D2A92"/>
    <w:rsid w:val="006D2F72"/>
    <w:rsid w:val="006D43C1"/>
    <w:rsid w:val="006D538B"/>
    <w:rsid w:val="006D5442"/>
    <w:rsid w:val="006D5983"/>
    <w:rsid w:val="006D6E4E"/>
    <w:rsid w:val="006D7A7B"/>
    <w:rsid w:val="006D7A8E"/>
    <w:rsid w:val="006D7C59"/>
    <w:rsid w:val="006E00E3"/>
    <w:rsid w:val="006E045C"/>
    <w:rsid w:val="006E0569"/>
    <w:rsid w:val="006E065E"/>
    <w:rsid w:val="006E0849"/>
    <w:rsid w:val="006E11D6"/>
    <w:rsid w:val="006E17AC"/>
    <w:rsid w:val="006E189B"/>
    <w:rsid w:val="006E20D9"/>
    <w:rsid w:val="006E2461"/>
    <w:rsid w:val="006E27DC"/>
    <w:rsid w:val="006E2902"/>
    <w:rsid w:val="006E2EB7"/>
    <w:rsid w:val="006E2F9D"/>
    <w:rsid w:val="006E37C6"/>
    <w:rsid w:val="006E3CF3"/>
    <w:rsid w:val="006E41ED"/>
    <w:rsid w:val="006E4490"/>
    <w:rsid w:val="006E4667"/>
    <w:rsid w:val="006E46B7"/>
    <w:rsid w:val="006E475A"/>
    <w:rsid w:val="006E486D"/>
    <w:rsid w:val="006E4880"/>
    <w:rsid w:val="006E48BB"/>
    <w:rsid w:val="006E6332"/>
    <w:rsid w:val="006E727B"/>
    <w:rsid w:val="006E76C8"/>
    <w:rsid w:val="006E7A92"/>
    <w:rsid w:val="006F01FF"/>
    <w:rsid w:val="006F0CB2"/>
    <w:rsid w:val="006F1DE9"/>
    <w:rsid w:val="006F2046"/>
    <w:rsid w:val="006F2F59"/>
    <w:rsid w:val="006F311E"/>
    <w:rsid w:val="006F3442"/>
    <w:rsid w:val="006F36A5"/>
    <w:rsid w:val="006F41F4"/>
    <w:rsid w:val="006F440D"/>
    <w:rsid w:val="006F4576"/>
    <w:rsid w:val="006F5813"/>
    <w:rsid w:val="006F59A8"/>
    <w:rsid w:val="006F5A1D"/>
    <w:rsid w:val="006F71A6"/>
    <w:rsid w:val="006F7974"/>
    <w:rsid w:val="006F7C2C"/>
    <w:rsid w:val="006F7FD1"/>
    <w:rsid w:val="006F7FD5"/>
    <w:rsid w:val="007003CD"/>
    <w:rsid w:val="00700405"/>
    <w:rsid w:val="00700D18"/>
    <w:rsid w:val="0070168D"/>
    <w:rsid w:val="00701C36"/>
    <w:rsid w:val="00702F2D"/>
    <w:rsid w:val="0070353F"/>
    <w:rsid w:val="0070415E"/>
    <w:rsid w:val="00704631"/>
    <w:rsid w:val="00704B79"/>
    <w:rsid w:val="00704E7D"/>
    <w:rsid w:val="00705060"/>
    <w:rsid w:val="00705351"/>
    <w:rsid w:val="00705619"/>
    <w:rsid w:val="007058EA"/>
    <w:rsid w:val="00705E93"/>
    <w:rsid w:val="00705FB0"/>
    <w:rsid w:val="007062AF"/>
    <w:rsid w:val="007069AE"/>
    <w:rsid w:val="007069D4"/>
    <w:rsid w:val="00706C89"/>
    <w:rsid w:val="00706F49"/>
    <w:rsid w:val="00707967"/>
    <w:rsid w:val="00710257"/>
    <w:rsid w:val="00710587"/>
    <w:rsid w:val="007107D5"/>
    <w:rsid w:val="007107FC"/>
    <w:rsid w:val="007119DC"/>
    <w:rsid w:val="00711CC7"/>
    <w:rsid w:val="0071230A"/>
    <w:rsid w:val="0071294A"/>
    <w:rsid w:val="00712BDD"/>
    <w:rsid w:val="00712E1E"/>
    <w:rsid w:val="00712F37"/>
    <w:rsid w:val="00713A6B"/>
    <w:rsid w:val="00713CB5"/>
    <w:rsid w:val="0071499C"/>
    <w:rsid w:val="00714F9D"/>
    <w:rsid w:val="007154D8"/>
    <w:rsid w:val="00715577"/>
    <w:rsid w:val="00715DBF"/>
    <w:rsid w:val="0071604D"/>
    <w:rsid w:val="00716C67"/>
    <w:rsid w:val="007170AB"/>
    <w:rsid w:val="007171DB"/>
    <w:rsid w:val="0071779C"/>
    <w:rsid w:val="00717808"/>
    <w:rsid w:val="00720321"/>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3A7"/>
    <w:rsid w:val="007304F2"/>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04F5"/>
    <w:rsid w:val="00741136"/>
    <w:rsid w:val="007413EB"/>
    <w:rsid w:val="007413FB"/>
    <w:rsid w:val="00742D32"/>
    <w:rsid w:val="00742E9B"/>
    <w:rsid w:val="007444E6"/>
    <w:rsid w:val="0074592C"/>
    <w:rsid w:val="00745C91"/>
    <w:rsid w:val="00746098"/>
    <w:rsid w:val="00746D58"/>
    <w:rsid w:val="00747578"/>
    <w:rsid w:val="00750D12"/>
    <w:rsid w:val="00751073"/>
    <w:rsid w:val="007517E4"/>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6FA7"/>
    <w:rsid w:val="00757029"/>
    <w:rsid w:val="007571FD"/>
    <w:rsid w:val="0075723D"/>
    <w:rsid w:val="007602D4"/>
    <w:rsid w:val="00760530"/>
    <w:rsid w:val="007609B7"/>
    <w:rsid w:val="00760A43"/>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C79"/>
    <w:rsid w:val="007660EC"/>
    <w:rsid w:val="007662C7"/>
    <w:rsid w:val="00766862"/>
    <w:rsid w:val="007675DD"/>
    <w:rsid w:val="007702BF"/>
    <w:rsid w:val="007705F0"/>
    <w:rsid w:val="00771C97"/>
    <w:rsid w:val="00771CAC"/>
    <w:rsid w:val="00772036"/>
    <w:rsid w:val="00773098"/>
    <w:rsid w:val="007739A3"/>
    <w:rsid w:val="00773BD9"/>
    <w:rsid w:val="00773CB0"/>
    <w:rsid w:val="00773D71"/>
    <w:rsid w:val="00775526"/>
    <w:rsid w:val="00775651"/>
    <w:rsid w:val="00775F3F"/>
    <w:rsid w:val="0077710B"/>
    <w:rsid w:val="00777198"/>
    <w:rsid w:val="0077765A"/>
    <w:rsid w:val="00780032"/>
    <w:rsid w:val="00780636"/>
    <w:rsid w:val="00780A78"/>
    <w:rsid w:val="00780E86"/>
    <w:rsid w:val="0078108C"/>
    <w:rsid w:val="00781727"/>
    <w:rsid w:val="007823E8"/>
    <w:rsid w:val="00782CF3"/>
    <w:rsid w:val="00783959"/>
    <w:rsid w:val="00783BA5"/>
    <w:rsid w:val="007844A9"/>
    <w:rsid w:val="00785091"/>
    <w:rsid w:val="00785CBD"/>
    <w:rsid w:val="0078638C"/>
    <w:rsid w:val="007869F9"/>
    <w:rsid w:val="00786CBB"/>
    <w:rsid w:val="00786E21"/>
    <w:rsid w:val="00787BB2"/>
    <w:rsid w:val="0079038E"/>
    <w:rsid w:val="00790EBB"/>
    <w:rsid w:val="00791C6E"/>
    <w:rsid w:val="00791DD5"/>
    <w:rsid w:val="007921F7"/>
    <w:rsid w:val="00792909"/>
    <w:rsid w:val="00792BC6"/>
    <w:rsid w:val="00792C3F"/>
    <w:rsid w:val="00792EE2"/>
    <w:rsid w:val="00792EFD"/>
    <w:rsid w:val="007930D9"/>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FD6"/>
    <w:rsid w:val="007A130E"/>
    <w:rsid w:val="007A18B1"/>
    <w:rsid w:val="007A1BBD"/>
    <w:rsid w:val="007A1BE9"/>
    <w:rsid w:val="007A1F08"/>
    <w:rsid w:val="007A2184"/>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5E61"/>
    <w:rsid w:val="007A649C"/>
    <w:rsid w:val="007A6D91"/>
    <w:rsid w:val="007A7618"/>
    <w:rsid w:val="007B00C9"/>
    <w:rsid w:val="007B02C7"/>
    <w:rsid w:val="007B0306"/>
    <w:rsid w:val="007B0833"/>
    <w:rsid w:val="007B08E4"/>
    <w:rsid w:val="007B0D86"/>
    <w:rsid w:val="007B0FBA"/>
    <w:rsid w:val="007B1888"/>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94"/>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DCC"/>
    <w:rsid w:val="007D2882"/>
    <w:rsid w:val="007D296C"/>
    <w:rsid w:val="007D2C31"/>
    <w:rsid w:val="007D2E50"/>
    <w:rsid w:val="007D395C"/>
    <w:rsid w:val="007D3D74"/>
    <w:rsid w:val="007D41DA"/>
    <w:rsid w:val="007D445F"/>
    <w:rsid w:val="007D4DED"/>
    <w:rsid w:val="007D57C3"/>
    <w:rsid w:val="007D5BA2"/>
    <w:rsid w:val="007D5ED3"/>
    <w:rsid w:val="007D682F"/>
    <w:rsid w:val="007D6FB9"/>
    <w:rsid w:val="007D7211"/>
    <w:rsid w:val="007D7B6F"/>
    <w:rsid w:val="007E0595"/>
    <w:rsid w:val="007E0A63"/>
    <w:rsid w:val="007E0C63"/>
    <w:rsid w:val="007E0E05"/>
    <w:rsid w:val="007E0F5D"/>
    <w:rsid w:val="007E23A1"/>
    <w:rsid w:val="007E259F"/>
    <w:rsid w:val="007E347E"/>
    <w:rsid w:val="007E3F53"/>
    <w:rsid w:val="007E41A4"/>
    <w:rsid w:val="007E43E3"/>
    <w:rsid w:val="007E54B8"/>
    <w:rsid w:val="007E5D12"/>
    <w:rsid w:val="007E6420"/>
    <w:rsid w:val="007E677F"/>
    <w:rsid w:val="007E6B25"/>
    <w:rsid w:val="007E6E06"/>
    <w:rsid w:val="007E6F4A"/>
    <w:rsid w:val="007E79CC"/>
    <w:rsid w:val="007F1124"/>
    <w:rsid w:val="007F152D"/>
    <w:rsid w:val="007F1761"/>
    <w:rsid w:val="007F2016"/>
    <w:rsid w:val="007F20C4"/>
    <w:rsid w:val="007F20EE"/>
    <w:rsid w:val="007F23D8"/>
    <w:rsid w:val="007F307A"/>
    <w:rsid w:val="007F30C6"/>
    <w:rsid w:val="007F38FD"/>
    <w:rsid w:val="007F3C18"/>
    <w:rsid w:val="007F424C"/>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831"/>
    <w:rsid w:val="00800B7F"/>
    <w:rsid w:val="008012B1"/>
    <w:rsid w:val="00801D63"/>
    <w:rsid w:val="0080348B"/>
    <w:rsid w:val="00803D82"/>
    <w:rsid w:val="00803D98"/>
    <w:rsid w:val="0080452A"/>
    <w:rsid w:val="008052CE"/>
    <w:rsid w:val="008058D0"/>
    <w:rsid w:val="00806A4C"/>
    <w:rsid w:val="0080705B"/>
    <w:rsid w:val="0080723C"/>
    <w:rsid w:val="00807F71"/>
    <w:rsid w:val="0081000F"/>
    <w:rsid w:val="0081090B"/>
    <w:rsid w:val="00812657"/>
    <w:rsid w:val="00812A1A"/>
    <w:rsid w:val="00812DFF"/>
    <w:rsid w:val="0081362F"/>
    <w:rsid w:val="0081383A"/>
    <w:rsid w:val="00813A43"/>
    <w:rsid w:val="0081497F"/>
    <w:rsid w:val="00814B90"/>
    <w:rsid w:val="00814FC7"/>
    <w:rsid w:val="008153F5"/>
    <w:rsid w:val="0081660C"/>
    <w:rsid w:val="00817195"/>
    <w:rsid w:val="00817416"/>
    <w:rsid w:val="00817658"/>
    <w:rsid w:val="008206AE"/>
    <w:rsid w:val="00821271"/>
    <w:rsid w:val="00821306"/>
    <w:rsid w:val="008213D9"/>
    <w:rsid w:val="008216CE"/>
    <w:rsid w:val="008218AE"/>
    <w:rsid w:val="00821C72"/>
    <w:rsid w:val="00821D85"/>
    <w:rsid w:val="00821E47"/>
    <w:rsid w:val="008220F6"/>
    <w:rsid w:val="0082240B"/>
    <w:rsid w:val="00822456"/>
    <w:rsid w:val="00823819"/>
    <w:rsid w:val="00823C4B"/>
    <w:rsid w:val="0082427D"/>
    <w:rsid w:val="00825441"/>
    <w:rsid w:val="00826855"/>
    <w:rsid w:val="00826A97"/>
    <w:rsid w:val="00827600"/>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0C3"/>
    <w:rsid w:val="00836323"/>
    <w:rsid w:val="00837D3D"/>
    <w:rsid w:val="00837E9B"/>
    <w:rsid w:val="008404AA"/>
    <w:rsid w:val="008406D7"/>
    <w:rsid w:val="00840731"/>
    <w:rsid w:val="0084074F"/>
    <w:rsid w:val="008407BA"/>
    <w:rsid w:val="00840AA3"/>
    <w:rsid w:val="00840AAC"/>
    <w:rsid w:val="0084101C"/>
    <w:rsid w:val="0084181B"/>
    <w:rsid w:val="00841F29"/>
    <w:rsid w:val="008425CC"/>
    <w:rsid w:val="00842DC2"/>
    <w:rsid w:val="0084357B"/>
    <w:rsid w:val="00843A45"/>
    <w:rsid w:val="008465B4"/>
    <w:rsid w:val="00846D25"/>
    <w:rsid w:val="00850013"/>
    <w:rsid w:val="008500DD"/>
    <w:rsid w:val="00850A0A"/>
    <w:rsid w:val="00850A94"/>
    <w:rsid w:val="00850C18"/>
    <w:rsid w:val="00851E96"/>
    <w:rsid w:val="00851F1C"/>
    <w:rsid w:val="00852B80"/>
    <w:rsid w:val="00852FA5"/>
    <w:rsid w:val="00853F7D"/>
    <w:rsid w:val="0085517F"/>
    <w:rsid w:val="0085562D"/>
    <w:rsid w:val="00855A78"/>
    <w:rsid w:val="00856154"/>
    <w:rsid w:val="00856286"/>
    <w:rsid w:val="0085657E"/>
    <w:rsid w:val="00856F0E"/>
    <w:rsid w:val="00856FF7"/>
    <w:rsid w:val="008573AF"/>
    <w:rsid w:val="008576B0"/>
    <w:rsid w:val="00860296"/>
    <w:rsid w:val="008602E3"/>
    <w:rsid w:val="0086060E"/>
    <w:rsid w:val="00860DA4"/>
    <w:rsid w:val="00861146"/>
    <w:rsid w:val="008618EE"/>
    <w:rsid w:val="00861948"/>
    <w:rsid w:val="00862011"/>
    <w:rsid w:val="00862A15"/>
    <w:rsid w:val="00862CC9"/>
    <w:rsid w:val="00862D8E"/>
    <w:rsid w:val="00862EF2"/>
    <w:rsid w:val="00863E49"/>
    <w:rsid w:val="00864661"/>
    <w:rsid w:val="008651CE"/>
    <w:rsid w:val="0086598A"/>
    <w:rsid w:val="00865C3D"/>
    <w:rsid w:val="00865F4C"/>
    <w:rsid w:val="00866453"/>
    <w:rsid w:val="0086707F"/>
    <w:rsid w:val="00867501"/>
    <w:rsid w:val="00867523"/>
    <w:rsid w:val="00867D8E"/>
    <w:rsid w:val="008700C0"/>
    <w:rsid w:val="0087058B"/>
    <w:rsid w:val="0087079D"/>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8F3"/>
    <w:rsid w:val="00875E14"/>
    <w:rsid w:val="00876291"/>
    <w:rsid w:val="0087677E"/>
    <w:rsid w:val="0087712C"/>
    <w:rsid w:val="008776E7"/>
    <w:rsid w:val="00877746"/>
    <w:rsid w:val="00877C5D"/>
    <w:rsid w:val="00880354"/>
    <w:rsid w:val="0088093C"/>
    <w:rsid w:val="00880BC0"/>
    <w:rsid w:val="0088127A"/>
    <w:rsid w:val="00881D59"/>
    <w:rsid w:val="00882991"/>
    <w:rsid w:val="00882EC1"/>
    <w:rsid w:val="0088324E"/>
    <w:rsid w:val="00883774"/>
    <w:rsid w:val="00884272"/>
    <w:rsid w:val="0088434F"/>
    <w:rsid w:val="00884371"/>
    <w:rsid w:val="008848E2"/>
    <w:rsid w:val="00884B7A"/>
    <w:rsid w:val="00884D47"/>
    <w:rsid w:val="008856C5"/>
    <w:rsid w:val="00886112"/>
    <w:rsid w:val="008872B3"/>
    <w:rsid w:val="00887392"/>
    <w:rsid w:val="00890A64"/>
    <w:rsid w:val="00890C40"/>
    <w:rsid w:val="00890F44"/>
    <w:rsid w:val="0089122E"/>
    <w:rsid w:val="008912A7"/>
    <w:rsid w:val="0089183A"/>
    <w:rsid w:val="00891EBC"/>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97D95"/>
    <w:rsid w:val="008A0044"/>
    <w:rsid w:val="008A0BFE"/>
    <w:rsid w:val="008A1932"/>
    <w:rsid w:val="008A1BE9"/>
    <w:rsid w:val="008A21D9"/>
    <w:rsid w:val="008A232D"/>
    <w:rsid w:val="008A3182"/>
    <w:rsid w:val="008A3C76"/>
    <w:rsid w:val="008A3D54"/>
    <w:rsid w:val="008A3E10"/>
    <w:rsid w:val="008A411C"/>
    <w:rsid w:val="008A4630"/>
    <w:rsid w:val="008A4660"/>
    <w:rsid w:val="008A47CE"/>
    <w:rsid w:val="008A4DFA"/>
    <w:rsid w:val="008A5F2F"/>
    <w:rsid w:val="008A6BAE"/>
    <w:rsid w:val="008A7350"/>
    <w:rsid w:val="008A7A72"/>
    <w:rsid w:val="008B09F3"/>
    <w:rsid w:val="008B1094"/>
    <w:rsid w:val="008B111A"/>
    <w:rsid w:val="008B1463"/>
    <w:rsid w:val="008B16E6"/>
    <w:rsid w:val="008B178A"/>
    <w:rsid w:val="008B1AB2"/>
    <w:rsid w:val="008B1D9B"/>
    <w:rsid w:val="008B2042"/>
    <w:rsid w:val="008B25F1"/>
    <w:rsid w:val="008B3567"/>
    <w:rsid w:val="008B36D0"/>
    <w:rsid w:val="008B38AF"/>
    <w:rsid w:val="008B3D7F"/>
    <w:rsid w:val="008B3E1B"/>
    <w:rsid w:val="008B3F4B"/>
    <w:rsid w:val="008B48EC"/>
    <w:rsid w:val="008B4AF0"/>
    <w:rsid w:val="008B502E"/>
    <w:rsid w:val="008B518E"/>
    <w:rsid w:val="008B527B"/>
    <w:rsid w:val="008B5AB9"/>
    <w:rsid w:val="008B646F"/>
    <w:rsid w:val="008B67E6"/>
    <w:rsid w:val="008B69B8"/>
    <w:rsid w:val="008B7042"/>
    <w:rsid w:val="008B770C"/>
    <w:rsid w:val="008B7845"/>
    <w:rsid w:val="008C0325"/>
    <w:rsid w:val="008C094A"/>
    <w:rsid w:val="008C0BD9"/>
    <w:rsid w:val="008C1570"/>
    <w:rsid w:val="008C1792"/>
    <w:rsid w:val="008C17B2"/>
    <w:rsid w:val="008C1E3E"/>
    <w:rsid w:val="008C2059"/>
    <w:rsid w:val="008C21D0"/>
    <w:rsid w:val="008C2DBC"/>
    <w:rsid w:val="008C3A4E"/>
    <w:rsid w:val="008C5371"/>
    <w:rsid w:val="008C5A86"/>
    <w:rsid w:val="008C623D"/>
    <w:rsid w:val="008C65F4"/>
    <w:rsid w:val="008C6683"/>
    <w:rsid w:val="008C6E0C"/>
    <w:rsid w:val="008C7273"/>
    <w:rsid w:val="008C78F8"/>
    <w:rsid w:val="008D05DF"/>
    <w:rsid w:val="008D09E8"/>
    <w:rsid w:val="008D0E65"/>
    <w:rsid w:val="008D110A"/>
    <w:rsid w:val="008D1612"/>
    <w:rsid w:val="008D17F1"/>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55F"/>
    <w:rsid w:val="008D5806"/>
    <w:rsid w:val="008D5ED9"/>
    <w:rsid w:val="008D7247"/>
    <w:rsid w:val="008D7567"/>
    <w:rsid w:val="008E0EE4"/>
    <w:rsid w:val="008E12BE"/>
    <w:rsid w:val="008E13FD"/>
    <w:rsid w:val="008E1C24"/>
    <w:rsid w:val="008E2626"/>
    <w:rsid w:val="008E27A9"/>
    <w:rsid w:val="008E28A6"/>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528"/>
    <w:rsid w:val="008F4FE8"/>
    <w:rsid w:val="008F4FED"/>
    <w:rsid w:val="008F5B47"/>
    <w:rsid w:val="008F5D5A"/>
    <w:rsid w:val="008F6200"/>
    <w:rsid w:val="008F62F8"/>
    <w:rsid w:val="008F6893"/>
    <w:rsid w:val="008F7292"/>
    <w:rsid w:val="008F76C0"/>
    <w:rsid w:val="009000F2"/>
    <w:rsid w:val="0090079D"/>
    <w:rsid w:val="0090086A"/>
    <w:rsid w:val="00900D2C"/>
    <w:rsid w:val="00901807"/>
    <w:rsid w:val="00901F0E"/>
    <w:rsid w:val="0090210D"/>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88E"/>
    <w:rsid w:val="00911D61"/>
    <w:rsid w:val="00911EC0"/>
    <w:rsid w:val="00912850"/>
    <w:rsid w:val="009128B8"/>
    <w:rsid w:val="009143D5"/>
    <w:rsid w:val="0091472C"/>
    <w:rsid w:val="00914DC9"/>
    <w:rsid w:val="00915351"/>
    <w:rsid w:val="00915679"/>
    <w:rsid w:val="009159C2"/>
    <w:rsid w:val="0091627F"/>
    <w:rsid w:val="00916E45"/>
    <w:rsid w:val="00916E76"/>
    <w:rsid w:val="00917C17"/>
    <w:rsid w:val="0092077A"/>
    <w:rsid w:val="00920DC0"/>
    <w:rsid w:val="009219F3"/>
    <w:rsid w:val="00921FAB"/>
    <w:rsid w:val="009221CB"/>
    <w:rsid w:val="00922320"/>
    <w:rsid w:val="00923643"/>
    <w:rsid w:val="00923E1A"/>
    <w:rsid w:val="009245CC"/>
    <w:rsid w:val="0092490A"/>
    <w:rsid w:val="00924BF0"/>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33B"/>
    <w:rsid w:val="00953573"/>
    <w:rsid w:val="009537C0"/>
    <w:rsid w:val="009544E9"/>
    <w:rsid w:val="0095496A"/>
    <w:rsid w:val="009557A9"/>
    <w:rsid w:val="00955C75"/>
    <w:rsid w:val="00956647"/>
    <w:rsid w:val="00957036"/>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67A86"/>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8D"/>
    <w:rsid w:val="00975D06"/>
    <w:rsid w:val="00975D63"/>
    <w:rsid w:val="00975DAE"/>
    <w:rsid w:val="00976BBE"/>
    <w:rsid w:val="0098055B"/>
    <w:rsid w:val="00980B30"/>
    <w:rsid w:val="009810BE"/>
    <w:rsid w:val="009810DF"/>
    <w:rsid w:val="009817BC"/>
    <w:rsid w:val="009819A7"/>
    <w:rsid w:val="0098220A"/>
    <w:rsid w:val="009829C3"/>
    <w:rsid w:val="00982E75"/>
    <w:rsid w:val="00983337"/>
    <w:rsid w:val="009836AA"/>
    <w:rsid w:val="009846BF"/>
    <w:rsid w:val="009851F5"/>
    <w:rsid w:val="0098534B"/>
    <w:rsid w:val="00986019"/>
    <w:rsid w:val="00986281"/>
    <w:rsid w:val="00986FC9"/>
    <w:rsid w:val="0098764E"/>
    <w:rsid w:val="00987683"/>
    <w:rsid w:val="009876D9"/>
    <w:rsid w:val="00987826"/>
    <w:rsid w:val="00987B4F"/>
    <w:rsid w:val="00987D58"/>
    <w:rsid w:val="00987EB3"/>
    <w:rsid w:val="0099034B"/>
    <w:rsid w:val="009906D4"/>
    <w:rsid w:val="00990A8E"/>
    <w:rsid w:val="00990EB7"/>
    <w:rsid w:val="00990F5F"/>
    <w:rsid w:val="009911A7"/>
    <w:rsid w:val="009913B8"/>
    <w:rsid w:val="009914E4"/>
    <w:rsid w:val="00992141"/>
    <w:rsid w:val="009921DB"/>
    <w:rsid w:val="00992285"/>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509"/>
    <w:rsid w:val="00997BC9"/>
    <w:rsid w:val="009A113D"/>
    <w:rsid w:val="009A1ECA"/>
    <w:rsid w:val="009A2BE9"/>
    <w:rsid w:val="009A2BF3"/>
    <w:rsid w:val="009A347C"/>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1F2"/>
    <w:rsid w:val="009C03F7"/>
    <w:rsid w:val="009C10DA"/>
    <w:rsid w:val="009C19FC"/>
    <w:rsid w:val="009C27F7"/>
    <w:rsid w:val="009C3BC4"/>
    <w:rsid w:val="009C3C93"/>
    <w:rsid w:val="009C3E97"/>
    <w:rsid w:val="009C4017"/>
    <w:rsid w:val="009C424E"/>
    <w:rsid w:val="009C4708"/>
    <w:rsid w:val="009C4870"/>
    <w:rsid w:val="009C4C4E"/>
    <w:rsid w:val="009C4D37"/>
    <w:rsid w:val="009C54D9"/>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3FB3"/>
    <w:rsid w:val="009E514A"/>
    <w:rsid w:val="009E5177"/>
    <w:rsid w:val="009E5701"/>
    <w:rsid w:val="009E5711"/>
    <w:rsid w:val="009E5D4C"/>
    <w:rsid w:val="009E758E"/>
    <w:rsid w:val="009E7BFB"/>
    <w:rsid w:val="009E7D6B"/>
    <w:rsid w:val="009E7E81"/>
    <w:rsid w:val="009F020A"/>
    <w:rsid w:val="009F05AD"/>
    <w:rsid w:val="009F0659"/>
    <w:rsid w:val="009F1109"/>
    <w:rsid w:val="009F143E"/>
    <w:rsid w:val="009F1B81"/>
    <w:rsid w:val="009F1DE8"/>
    <w:rsid w:val="009F2186"/>
    <w:rsid w:val="009F227C"/>
    <w:rsid w:val="009F28DC"/>
    <w:rsid w:val="009F2EDB"/>
    <w:rsid w:val="009F33DC"/>
    <w:rsid w:val="009F3D30"/>
    <w:rsid w:val="009F446E"/>
    <w:rsid w:val="009F4550"/>
    <w:rsid w:val="009F56C0"/>
    <w:rsid w:val="009F5C76"/>
    <w:rsid w:val="009F7C9F"/>
    <w:rsid w:val="00A000C5"/>
    <w:rsid w:val="00A007B4"/>
    <w:rsid w:val="00A00930"/>
    <w:rsid w:val="00A00CA0"/>
    <w:rsid w:val="00A00E00"/>
    <w:rsid w:val="00A01221"/>
    <w:rsid w:val="00A012A8"/>
    <w:rsid w:val="00A012F1"/>
    <w:rsid w:val="00A016FF"/>
    <w:rsid w:val="00A01886"/>
    <w:rsid w:val="00A0207F"/>
    <w:rsid w:val="00A021AF"/>
    <w:rsid w:val="00A027B1"/>
    <w:rsid w:val="00A028AE"/>
    <w:rsid w:val="00A0307A"/>
    <w:rsid w:val="00A03A7C"/>
    <w:rsid w:val="00A044AA"/>
    <w:rsid w:val="00A04A4E"/>
    <w:rsid w:val="00A04F64"/>
    <w:rsid w:val="00A05F12"/>
    <w:rsid w:val="00A0700C"/>
    <w:rsid w:val="00A102F8"/>
    <w:rsid w:val="00A10A20"/>
    <w:rsid w:val="00A114DB"/>
    <w:rsid w:val="00A117D5"/>
    <w:rsid w:val="00A11814"/>
    <w:rsid w:val="00A11C11"/>
    <w:rsid w:val="00A12720"/>
    <w:rsid w:val="00A12ED1"/>
    <w:rsid w:val="00A13121"/>
    <w:rsid w:val="00A131F5"/>
    <w:rsid w:val="00A133C1"/>
    <w:rsid w:val="00A13414"/>
    <w:rsid w:val="00A13675"/>
    <w:rsid w:val="00A138B7"/>
    <w:rsid w:val="00A13F2D"/>
    <w:rsid w:val="00A14044"/>
    <w:rsid w:val="00A148A0"/>
    <w:rsid w:val="00A14AA8"/>
    <w:rsid w:val="00A14F81"/>
    <w:rsid w:val="00A1535F"/>
    <w:rsid w:val="00A15CB1"/>
    <w:rsid w:val="00A15DCC"/>
    <w:rsid w:val="00A15E7D"/>
    <w:rsid w:val="00A15E84"/>
    <w:rsid w:val="00A16021"/>
    <w:rsid w:val="00A16961"/>
    <w:rsid w:val="00A176DD"/>
    <w:rsid w:val="00A21838"/>
    <w:rsid w:val="00A22A79"/>
    <w:rsid w:val="00A22C3E"/>
    <w:rsid w:val="00A22C4D"/>
    <w:rsid w:val="00A22EAA"/>
    <w:rsid w:val="00A2334E"/>
    <w:rsid w:val="00A23442"/>
    <w:rsid w:val="00A246F1"/>
    <w:rsid w:val="00A2491E"/>
    <w:rsid w:val="00A249D2"/>
    <w:rsid w:val="00A24EC2"/>
    <w:rsid w:val="00A254AB"/>
    <w:rsid w:val="00A259F2"/>
    <w:rsid w:val="00A266CC"/>
    <w:rsid w:val="00A26DB4"/>
    <w:rsid w:val="00A27425"/>
    <w:rsid w:val="00A3023E"/>
    <w:rsid w:val="00A305C5"/>
    <w:rsid w:val="00A30919"/>
    <w:rsid w:val="00A31F05"/>
    <w:rsid w:val="00A31FD2"/>
    <w:rsid w:val="00A3404D"/>
    <w:rsid w:val="00A341AA"/>
    <w:rsid w:val="00A341AB"/>
    <w:rsid w:val="00A34290"/>
    <w:rsid w:val="00A355F9"/>
    <w:rsid w:val="00A357D3"/>
    <w:rsid w:val="00A35AA9"/>
    <w:rsid w:val="00A35F3C"/>
    <w:rsid w:val="00A367CD"/>
    <w:rsid w:val="00A36CF6"/>
    <w:rsid w:val="00A37309"/>
    <w:rsid w:val="00A37329"/>
    <w:rsid w:val="00A37558"/>
    <w:rsid w:val="00A3786A"/>
    <w:rsid w:val="00A4008C"/>
    <w:rsid w:val="00A402A8"/>
    <w:rsid w:val="00A40685"/>
    <w:rsid w:val="00A40E2F"/>
    <w:rsid w:val="00A41819"/>
    <w:rsid w:val="00A41C9A"/>
    <w:rsid w:val="00A41D73"/>
    <w:rsid w:val="00A422FF"/>
    <w:rsid w:val="00A42406"/>
    <w:rsid w:val="00A433E8"/>
    <w:rsid w:val="00A43A1D"/>
    <w:rsid w:val="00A43AB0"/>
    <w:rsid w:val="00A44854"/>
    <w:rsid w:val="00A44A45"/>
    <w:rsid w:val="00A4665D"/>
    <w:rsid w:val="00A46859"/>
    <w:rsid w:val="00A46D39"/>
    <w:rsid w:val="00A47019"/>
    <w:rsid w:val="00A47163"/>
    <w:rsid w:val="00A47270"/>
    <w:rsid w:val="00A472B8"/>
    <w:rsid w:val="00A5004A"/>
    <w:rsid w:val="00A5017C"/>
    <w:rsid w:val="00A502D6"/>
    <w:rsid w:val="00A502F5"/>
    <w:rsid w:val="00A504F4"/>
    <w:rsid w:val="00A507C4"/>
    <w:rsid w:val="00A508AA"/>
    <w:rsid w:val="00A50EE7"/>
    <w:rsid w:val="00A526CE"/>
    <w:rsid w:val="00A54909"/>
    <w:rsid w:val="00A549A4"/>
    <w:rsid w:val="00A54DC0"/>
    <w:rsid w:val="00A550C9"/>
    <w:rsid w:val="00A55228"/>
    <w:rsid w:val="00A552EB"/>
    <w:rsid w:val="00A55410"/>
    <w:rsid w:val="00A55A04"/>
    <w:rsid w:val="00A564D4"/>
    <w:rsid w:val="00A564DE"/>
    <w:rsid w:val="00A6054E"/>
    <w:rsid w:val="00A60799"/>
    <w:rsid w:val="00A607F2"/>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089"/>
    <w:rsid w:val="00A730B2"/>
    <w:rsid w:val="00A732FB"/>
    <w:rsid w:val="00A7463E"/>
    <w:rsid w:val="00A758E2"/>
    <w:rsid w:val="00A765B1"/>
    <w:rsid w:val="00A772F2"/>
    <w:rsid w:val="00A77828"/>
    <w:rsid w:val="00A77BAA"/>
    <w:rsid w:val="00A800F9"/>
    <w:rsid w:val="00A803A6"/>
    <w:rsid w:val="00A8073D"/>
    <w:rsid w:val="00A807A0"/>
    <w:rsid w:val="00A80D02"/>
    <w:rsid w:val="00A81056"/>
    <w:rsid w:val="00A8110F"/>
    <w:rsid w:val="00A815FB"/>
    <w:rsid w:val="00A818BD"/>
    <w:rsid w:val="00A81AEB"/>
    <w:rsid w:val="00A81CEE"/>
    <w:rsid w:val="00A82D32"/>
    <w:rsid w:val="00A82EAE"/>
    <w:rsid w:val="00A82FC7"/>
    <w:rsid w:val="00A847F9"/>
    <w:rsid w:val="00A84F27"/>
    <w:rsid w:val="00A8519C"/>
    <w:rsid w:val="00A855EE"/>
    <w:rsid w:val="00A8597A"/>
    <w:rsid w:val="00A85B87"/>
    <w:rsid w:val="00A85F83"/>
    <w:rsid w:val="00A86019"/>
    <w:rsid w:val="00A86EED"/>
    <w:rsid w:val="00A8733A"/>
    <w:rsid w:val="00A90CCF"/>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AD0"/>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A7B16"/>
    <w:rsid w:val="00AB02EA"/>
    <w:rsid w:val="00AB0BEA"/>
    <w:rsid w:val="00AB110C"/>
    <w:rsid w:val="00AB1891"/>
    <w:rsid w:val="00AB227A"/>
    <w:rsid w:val="00AB22BF"/>
    <w:rsid w:val="00AB256E"/>
    <w:rsid w:val="00AB3466"/>
    <w:rsid w:val="00AB38B2"/>
    <w:rsid w:val="00AB3BBB"/>
    <w:rsid w:val="00AB4069"/>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D76"/>
    <w:rsid w:val="00AC6E18"/>
    <w:rsid w:val="00AC7F64"/>
    <w:rsid w:val="00AD1065"/>
    <w:rsid w:val="00AD159E"/>
    <w:rsid w:val="00AD2AB1"/>
    <w:rsid w:val="00AD2F78"/>
    <w:rsid w:val="00AD3132"/>
    <w:rsid w:val="00AD3DA6"/>
    <w:rsid w:val="00AD3F3C"/>
    <w:rsid w:val="00AD447E"/>
    <w:rsid w:val="00AD4B2F"/>
    <w:rsid w:val="00AD5137"/>
    <w:rsid w:val="00AD5F0A"/>
    <w:rsid w:val="00AD6A5B"/>
    <w:rsid w:val="00AD6B4F"/>
    <w:rsid w:val="00AD6D19"/>
    <w:rsid w:val="00AD7812"/>
    <w:rsid w:val="00AD7C42"/>
    <w:rsid w:val="00AD7CFA"/>
    <w:rsid w:val="00AE06B0"/>
    <w:rsid w:val="00AE0BD6"/>
    <w:rsid w:val="00AE11C1"/>
    <w:rsid w:val="00AE163D"/>
    <w:rsid w:val="00AE1A42"/>
    <w:rsid w:val="00AE1C5C"/>
    <w:rsid w:val="00AE2D42"/>
    <w:rsid w:val="00AE315E"/>
    <w:rsid w:val="00AE319F"/>
    <w:rsid w:val="00AE31D9"/>
    <w:rsid w:val="00AE3CF0"/>
    <w:rsid w:val="00AE4546"/>
    <w:rsid w:val="00AE5A57"/>
    <w:rsid w:val="00AE6575"/>
    <w:rsid w:val="00AE7014"/>
    <w:rsid w:val="00AE71EE"/>
    <w:rsid w:val="00AE72F0"/>
    <w:rsid w:val="00AF03CF"/>
    <w:rsid w:val="00AF0A0A"/>
    <w:rsid w:val="00AF11F5"/>
    <w:rsid w:val="00AF14FC"/>
    <w:rsid w:val="00AF1ED2"/>
    <w:rsid w:val="00AF1F4E"/>
    <w:rsid w:val="00AF2302"/>
    <w:rsid w:val="00AF262A"/>
    <w:rsid w:val="00AF27C1"/>
    <w:rsid w:val="00AF3557"/>
    <w:rsid w:val="00AF3F86"/>
    <w:rsid w:val="00AF4CEE"/>
    <w:rsid w:val="00AF4F4A"/>
    <w:rsid w:val="00AF52BF"/>
    <w:rsid w:val="00AF584C"/>
    <w:rsid w:val="00AF5D84"/>
    <w:rsid w:val="00AF6476"/>
    <w:rsid w:val="00AF669D"/>
    <w:rsid w:val="00AF672C"/>
    <w:rsid w:val="00AF673E"/>
    <w:rsid w:val="00AF6ABE"/>
    <w:rsid w:val="00AF7072"/>
    <w:rsid w:val="00AF7389"/>
    <w:rsid w:val="00AF783A"/>
    <w:rsid w:val="00AF79DF"/>
    <w:rsid w:val="00AF7C37"/>
    <w:rsid w:val="00B00378"/>
    <w:rsid w:val="00B00D91"/>
    <w:rsid w:val="00B00E84"/>
    <w:rsid w:val="00B01DD9"/>
    <w:rsid w:val="00B01F0E"/>
    <w:rsid w:val="00B038F1"/>
    <w:rsid w:val="00B03AB2"/>
    <w:rsid w:val="00B03C1B"/>
    <w:rsid w:val="00B042E5"/>
    <w:rsid w:val="00B04678"/>
    <w:rsid w:val="00B047C9"/>
    <w:rsid w:val="00B04A04"/>
    <w:rsid w:val="00B04B78"/>
    <w:rsid w:val="00B04C37"/>
    <w:rsid w:val="00B04F00"/>
    <w:rsid w:val="00B05331"/>
    <w:rsid w:val="00B05BA6"/>
    <w:rsid w:val="00B066FE"/>
    <w:rsid w:val="00B06912"/>
    <w:rsid w:val="00B07316"/>
    <w:rsid w:val="00B07F74"/>
    <w:rsid w:val="00B10021"/>
    <w:rsid w:val="00B10174"/>
    <w:rsid w:val="00B10618"/>
    <w:rsid w:val="00B10B04"/>
    <w:rsid w:val="00B10CC6"/>
    <w:rsid w:val="00B1148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AD5"/>
    <w:rsid w:val="00B20760"/>
    <w:rsid w:val="00B2125C"/>
    <w:rsid w:val="00B21469"/>
    <w:rsid w:val="00B21676"/>
    <w:rsid w:val="00B219E1"/>
    <w:rsid w:val="00B21ECF"/>
    <w:rsid w:val="00B22150"/>
    <w:rsid w:val="00B226DE"/>
    <w:rsid w:val="00B22FB5"/>
    <w:rsid w:val="00B2357A"/>
    <w:rsid w:val="00B241D5"/>
    <w:rsid w:val="00B24BE9"/>
    <w:rsid w:val="00B2551D"/>
    <w:rsid w:val="00B25E7C"/>
    <w:rsid w:val="00B25F8C"/>
    <w:rsid w:val="00B260BE"/>
    <w:rsid w:val="00B26677"/>
    <w:rsid w:val="00B26A96"/>
    <w:rsid w:val="00B274E3"/>
    <w:rsid w:val="00B2765C"/>
    <w:rsid w:val="00B27BCE"/>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37CC3"/>
    <w:rsid w:val="00B40222"/>
    <w:rsid w:val="00B404C3"/>
    <w:rsid w:val="00B41A04"/>
    <w:rsid w:val="00B42743"/>
    <w:rsid w:val="00B430E9"/>
    <w:rsid w:val="00B4311F"/>
    <w:rsid w:val="00B431AE"/>
    <w:rsid w:val="00B432FF"/>
    <w:rsid w:val="00B437A9"/>
    <w:rsid w:val="00B44288"/>
    <w:rsid w:val="00B4468B"/>
    <w:rsid w:val="00B448BF"/>
    <w:rsid w:val="00B45A59"/>
    <w:rsid w:val="00B45F9F"/>
    <w:rsid w:val="00B4627C"/>
    <w:rsid w:val="00B4641F"/>
    <w:rsid w:val="00B46793"/>
    <w:rsid w:val="00B46953"/>
    <w:rsid w:val="00B47455"/>
    <w:rsid w:val="00B47979"/>
    <w:rsid w:val="00B47A59"/>
    <w:rsid w:val="00B47ECD"/>
    <w:rsid w:val="00B47FF3"/>
    <w:rsid w:val="00B503D6"/>
    <w:rsid w:val="00B508A4"/>
    <w:rsid w:val="00B50E62"/>
    <w:rsid w:val="00B51520"/>
    <w:rsid w:val="00B515C3"/>
    <w:rsid w:val="00B51798"/>
    <w:rsid w:val="00B517C2"/>
    <w:rsid w:val="00B518CE"/>
    <w:rsid w:val="00B51D62"/>
    <w:rsid w:val="00B51F56"/>
    <w:rsid w:val="00B52234"/>
    <w:rsid w:val="00B52A7F"/>
    <w:rsid w:val="00B53623"/>
    <w:rsid w:val="00B53D1D"/>
    <w:rsid w:val="00B53E98"/>
    <w:rsid w:val="00B53F9B"/>
    <w:rsid w:val="00B54B19"/>
    <w:rsid w:val="00B55F64"/>
    <w:rsid w:val="00B56ECA"/>
    <w:rsid w:val="00B57093"/>
    <w:rsid w:val="00B57B5D"/>
    <w:rsid w:val="00B60613"/>
    <w:rsid w:val="00B61AEC"/>
    <w:rsid w:val="00B621B2"/>
    <w:rsid w:val="00B6244C"/>
    <w:rsid w:val="00B62A2F"/>
    <w:rsid w:val="00B62B7B"/>
    <w:rsid w:val="00B62F0A"/>
    <w:rsid w:val="00B63484"/>
    <w:rsid w:val="00B634B7"/>
    <w:rsid w:val="00B634F1"/>
    <w:rsid w:val="00B637EF"/>
    <w:rsid w:val="00B63EF6"/>
    <w:rsid w:val="00B6440A"/>
    <w:rsid w:val="00B65788"/>
    <w:rsid w:val="00B65844"/>
    <w:rsid w:val="00B65ED9"/>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AAD"/>
    <w:rsid w:val="00B76FCD"/>
    <w:rsid w:val="00B77315"/>
    <w:rsid w:val="00B7764D"/>
    <w:rsid w:val="00B804F8"/>
    <w:rsid w:val="00B8095A"/>
    <w:rsid w:val="00B809D6"/>
    <w:rsid w:val="00B81274"/>
    <w:rsid w:val="00B8154A"/>
    <w:rsid w:val="00B815D3"/>
    <w:rsid w:val="00B81742"/>
    <w:rsid w:val="00B817B5"/>
    <w:rsid w:val="00B82048"/>
    <w:rsid w:val="00B823A6"/>
    <w:rsid w:val="00B83712"/>
    <w:rsid w:val="00B83E76"/>
    <w:rsid w:val="00B83FA0"/>
    <w:rsid w:val="00B84156"/>
    <w:rsid w:val="00B846E6"/>
    <w:rsid w:val="00B8537B"/>
    <w:rsid w:val="00B85586"/>
    <w:rsid w:val="00B859C3"/>
    <w:rsid w:val="00B85F32"/>
    <w:rsid w:val="00B86289"/>
    <w:rsid w:val="00B863B3"/>
    <w:rsid w:val="00B867F9"/>
    <w:rsid w:val="00B869D3"/>
    <w:rsid w:val="00B86CF8"/>
    <w:rsid w:val="00B86E44"/>
    <w:rsid w:val="00B87359"/>
    <w:rsid w:val="00B87F1C"/>
    <w:rsid w:val="00B90D8D"/>
    <w:rsid w:val="00B91263"/>
    <w:rsid w:val="00B91B61"/>
    <w:rsid w:val="00B91DF7"/>
    <w:rsid w:val="00B92FE0"/>
    <w:rsid w:val="00B93849"/>
    <w:rsid w:val="00B938BD"/>
    <w:rsid w:val="00B939D4"/>
    <w:rsid w:val="00B93CF3"/>
    <w:rsid w:val="00B93DF1"/>
    <w:rsid w:val="00B9407F"/>
    <w:rsid w:val="00B944E9"/>
    <w:rsid w:val="00B945D7"/>
    <w:rsid w:val="00B94896"/>
    <w:rsid w:val="00B94CDD"/>
    <w:rsid w:val="00B94DA7"/>
    <w:rsid w:val="00B94E91"/>
    <w:rsid w:val="00B95163"/>
    <w:rsid w:val="00B95496"/>
    <w:rsid w:val="00B954D0"/>
    <w:rsid w:val="00B96DD9"/>
    <w:rsid w:val="00B96EA6"/>
    <w:rsid w:val="00B9789D"/>
    <w:rsid w:val="00B97A4C"/>
    <w:rsid w:val="00BA050E"/>
    <w:rsid w:val="00BA1289"/>
    <w:rsid w:val="00BA14B2"/>
    <w:rsid w:val="00BA15DC"/>
    <w:rsid w:val="00BA1E2F"/>
    <w:rsid w:val="00BA1EB8"/>
    <w:rsid w:val="00BA2C82"/>
    <w:rsid w:val="00BA3869"/>
    <w:rsid w:val="00BA4147"/>
    <w:rsid w:val="00BA4399"/>
    <w:rsid w:val="00BA4452"/>
    <w:rsid w:val="00BA46C6"/>
    <w:rsid w:val="00BA4A40"/>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6FA"/>
    <w:rsid w:val="00BB1EFB"/>
    <w:rsid w:val="00BB269F"/>
    <w:rsid w:val="00BB27CC"/>
    <w:rsid w:val="00BB2ACE"/>
    <w:rsid w:val="00BB2E4E"/>
    <w:rsid w:val="00BB2E62"/>
    <w:rsid w:val="00BB346B"/>
    <w:rsid w:val="00BB36C9"/>
    <w:rsid w:val="00BB3A66"/>
    <w:rsid w:val="00BB40D1"/>
    <w:rsid w:val="00BB777D"/>
    <w:rsid w:val="00BB7EC0"/>
    <w:rsid w:val="00BB7F88"/>
    <w:rsid w:val="00BC0207"/>
    <w:rsid w:val="00BC089F"/>
    <w:rsid w:val="00BC0A0C"/>
    <w:rsid w:val="00BC0A5A"/>
    <w:rsid w:val="00BC0E64"/>
    <w:rsid w:val="00BC0F0A"/>
    <w:rsid w:val="00BC18B7"/>
    <w:rsid w:val="00BC25D1"/>
    <w:rsid w:val="00BC2DBD"/>
    <w:rsid w:val="00BC3824"/>
    <w:rsid w:val="00BC3ADA"/>
    <w:rsid w:val="00BC3BCB"/>
    <w:rsid w:val="00BC3CF1"/>
    <w:rsid w:val="00BC41A5"/>
    <w:rsid w:val="00BC428A"/>
    <w:rsid w:val="00BC4C40"/>
    <w:rsid w:val="00BC5A29"/>
    <w:rsid w:val="00BC5AE3"/>
    <w:rsid w:val="00BC5BAD"/>
    <w:rsid w:val="00BC692A"/>
    <w:rsid w:val="00BC76C5"/>
    <w:rsid w:val="00BC7F94"/>
    <w:rsid w:val="00BD05AE"/>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E04"/>
    <w:rsid w:val="00BE2FD2"/>
    <w:rsid w:val="00BE377A"/>
    <w:rsid w:val="00BE37AE"/>
    <w:rsid w:val="00BE3B14"/>
    <w:rsid w:val="00BE3C65"/>
    <w:rsid w:val="00BE4222"/>
    <w:rsid w:val="00BE472D"/>
    <w:rsid w:val="00BE4C03"/>
    <w:rsid w:val="00BE6067"/>
    <w:rsid w:val="00BE7F4D"/>
    <w:rsid w:val="00BF03C0"/>
    <w:rsid w:val="00BF0EBF"/>
    <w:rsid w:val="00BF1534"/>
    <w:rsid w:val="00BF194C"/>
    <w:rsid w:val="00BF2021"/>
    <w:rsid w:val="00BF21D4"/>
    <w:rsid w:val="00BF2DDC"/>
    <w:rsid w:val="00BF32DE"/>
    <w:rsid w:val="00BF4A15"/>
    <w:rsid w:val="00BF4E0E"/>
    <w:rsid w:val="00BF4E27"/>
    <w:rsid w:val="00BF4F7C"/>
    <w:rsid w:val="00BF537B"/>
    <w:rsid w:val="00BF5901"/>
    <w:rsid w:val="00BF5E18"/>
    <w:rsid w:val="00BF626A"/>
    <w:rsid w:val="00BF688E"/>
    <w:rsid w:val="00BF68EB"/>
    <w:rsid w:val="00BF6D77"/>
    <w:rsid w:val="00BF739A"/>
    <w:rsid w:val="00BF7EF5"/>
    <w:rsid w:val="00C00BF6"/>
    <w:rsid w:val="00C0234A"/>
    <w:rsid w:val="00C0247B"/>
    <w:rsid w:val="00C0378E"/>
    <w:rsid w:val="00C04314"/>
    <w:rsid w:val="00C04BD0"/>
    <w:rsid w:val="00C0572F"/>
    <w:rsid w:val="00C05730"/>
    <w:rsid w:val="00C05AF4"/>
    <w:rsid w:val="00C05AFD"/>
    <w:rsid w:val="00C0661C"/>
    <w:rsid w:val="00C0675F"/>
    <w:rsid w:val="00C0699E"/>
    <w:rsid w:val="00C0702A"/>
    <w:rsid w:val="00C070D3"/>
    <w:rsid w:val="00C0724C"/>
    <w:rsid w:val="00C07C11"/>
    <w:rsid w:val="00C07E10"/>
    <w:rsid w:val="00C10015"/>
    <w:rsid w:val="00C103F2"/>
    <w:rsid w:val="00C1110A"/>
    <w:rsid w:val="00C11689"/>
    <w:rsid w:val="00C12414"/>
    <w:rsid w:val="00C12C0E"/>
    <w:rsid w:val="00C12ECB"/>
    <w:rsid w:val="00C136BF"/>
    <w:rsid w:val="00C148B2"/>
    <w:rsid w:val="00C14ABD"/>
    <w:rsid w:val="00C1519B"/>
    <w:rsid w:val="00C151E0"/>
    <w:rsid w:val="00C1555A"/>
    <w:rsid w:val="00C155A8"/>
    <w:rsid w:val="00C159FD"/>
    <w:rsid w:val="00C15B31"/>
    <w:rsid w:val="00C15F66"/>
    <w:rsid w:val="00C1604F"/>
    <w:rsid w:val="00C166D4"/>
    <w:rsid w:val="00C168E5"/>
    <w:rsid w:val="00C1696D"/>
    <w:rsid w:val="00C16C90"/>
    <w:rsid w:val="00C170EE"/>
    <w:rsid w:val="00C17AB5"/>
    <w:rsid w:val="00C20051"/>
    <w:rsid w:val="00C20B6C"/>
    <w:rsid w:val="00C20B86"/>
    <w:rsid w:val="00C20FB0"/>
    <w:rsid w:val="00C21145"/>
    <w:rsid w:val="00C215ED"/>
    <w:rsid w:val="00C22350"/>
    <w:rsid w:val="00C235C4"/>
    <w:rsid w:val="00C23615"/>
    <w:rsid w:val="00C2397E"/>
    <w:rsid w:val="00C239C3"/>
    <w:rsid w:val="00C23A83"/>
    <w:rsid w:val="00C2403F"/>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B04"/>
    <w:rsid w:val="00C35CA1"/>
    <w:rsid w:val="00C35EED"/>
    <w:rsid w:val="00C36B2C"/>
    <w:rsid w:val="00C3701A"/>
    <w:rsid w:val="00C3791B"/>
    <w:rsid w:val="00C379EF"/>
    <w:rsid w:val="00C405C8"/>
    <w:rsid w:val="00C40C2F"/>
    <w:rsid w:val="00C413EB"/>
    <w:rsid w:val="00C415AC"/>
    <w:rsid w:val="00C4297A"/>
    <w:rsid w:val="00C43182"/>
    <w:rsid w:val="00C4360C"/>
    <w:rsid w:val="00C439B8"/>
    <w:rsid w:val="00C43A0B"/>
    <w:rsid w:val="00C43EDA"/>
    <w:rsid w:val="00C43FEC"/>
    <w:rsid w:val="00C440D2"/>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B9D"/>
    <w:rsid w:val="00C53CE9"/>
    <w:rsid w:val="00C5531B"/>
    <w:rsid w:val="00C55375"/>
    <w:rsid w:val="00C5570F"/>
    <w:rsid w:val="00C56C98"/>
    <w:rsid w:val="00C56D0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4A2"/>
    <w:rsid w:val="00C64534"/>
    <w:rsid w:val="00C64D93"/>
    <w:rsid w:val="00C64F49"/>
    <w:rsid w:val="00C64F71"/>
    <w:rsid w:val="00C650E3"/>
    <w:rsid w:val="00C65200"/>
    <w:rsid w:val="00C65BD3"/>
    <w:rsid w:val="00C664FB"/>
    <w:rsid w:val="00C665DE"/>
    <w:rsid w:val="00C66706"/>
    <w:rsid w:val="00C667C3"/>
    <w:rsid w:val="00C6728B"/>
    <w:rsid w:val="00C70718"/>
    <w:rsid w:val="00C70B25"/>
    <w:rsid w:val="00C71528"/>
    <w:rsid w:val="00C717E4"/>
    <w:rsid w:val="00C7191B"/>
    <w:rsid w:val="00C71E5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9F"/>
    <w:rsid w:val="00C832CB"/>
    <w:rsid w:val="00C84085"/>
    <w:rsid w:val="00C849FC"/>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183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2A83"/>
    <w:rsid w:val="00CA3463"/>
    <w:rsid w:val="00CA3CAB"/>
    <w:rsid w:val="00CA3FC0"/>
    <w:rsid w:val="00CA4E7C"/>
    <w:rsid w:val="00CA5685"/>
    <w:rsid w:val="00CA6A2E"/>
    <w:rsid w:val="00CA6B56"/>
    <w:rsid w:val="00CA7A48"/>
    <w:rsid w:val="00CA7D3E"/>
    <w:rsid w:val="00CB0231"/>
    <w:rsid w:val="00CB0317"/>
    <w:rsid w:val="00CB0662"/>
    <w:rsid w:val="00CB0A82"/>
    <w:rsid w:val="00CB0F2F"/>
    <w:rsid w:val="00CB12EB"/>
    <w:rsid w:val="00CB1556"/>
    <w:rsid w:val="00CB1E71"/>
    <w:rsid w:val="00CB2913"/>
    <w:rsid w:val="00CB3970"/>
    <w:rsid w:val="00CB42B9"/>
    <w:rsid w:val="00CB4550"/>
    <w:rsid w:val="00CB4F39"/>
    <w:rsid w:val="00CB52A4"/>
    <w:rsid w:val="00CB537C"/>
    <w:rsid w:val="00CB5A26"/>
    <w:rsid w:val="00CB5C43"/>
    <w:rsid w:val="00CB645B"/>
    <w:rsid w:val="00CB6789"/>
    <w:rsid w:val="00CB6A93"/>
    <w:rsid w:val="00CB6C79"/>
    <w:rsid w:val="00CB743C"/>
    <w:rsid w:val="00CB77C3"/>
    <w:rsid w:val="00CB7E9C"/>
    <w:rsid w:val="00CC0072"/>
    <w:rsid w:val="00CC027A"/>
    <w:rsid w:val="00CC0915"/>
    <w:rsid w:val="00CC1398"/>
    <w:rsid w:val="00CC170B"/>
    <w:rsid w:val="00CC1811"/>
    <w:rsid w:val="00CC1AF5"/>
    <w:rsid w:val="00CC1B74"/>
    <w:rsid w:val="00CC291E"/>
    <w:rsid w:val="00CC2D03"/>
    <w:rsid w:val="00CC2EB0"/>
    <w:rsid w:val="00CC2FBA"/>
    <w:rsid w:val="00CC35C7"/>
    <w:rsid w:val="00CC4701"/>
    <w:rsid w:val="00CC56B4"/>
    <w:rsid w:val="00CC5F95"/>
    <w:rsid w:val="00CC642A"/>
    <w:rsid w:val="00CC6AC7"/>
    <w:rsid w:val="00CC6EDE"/>
    <w:rsid w:val="00CC733D"/>
    <w:rsid w:val="00CC7617"/>
    <w:rsid w:val="00CC7BCF"/>
    <w:rsid w:val="00CC7E0D"/>
    <w:rsid w:val="00CC7E97"/>
    <w:rsid w:val="00CD00EB"/>
    <w:rsid w:val="00CD1255"/>
    <w:rsid w:val="00CD1484"/>
    <w:rsid w:val="00CD1892"/>
    <w:rsid w:val="00CD1C01"/>
    <w:rsid w:val="00CD1D00"/>
    <w:rsid w:val="00CD2009"/>
    <w:rsid w:val="00CD27AC"/>
    <w:rsid w:val="00CD2825"/>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1D2C"/>
    <w:rsid w:val="00CE2E2E"/>
    <w:rsid w:val="00CE3A51"/>
    <w:rsid w:val="00CE3EFC"/>
    <w:rsid w:val="00CE41F9"/>
    <w:rsid w:val="00CE55C5"/>
    <w:rsid w:val="00CE59F6"/>
    <w:rsid w:val="00CE66CD"/>
    <w:rsid w:val="00CE6BA9"/>
    <w:rsid w:val="00CE71C3"/>
    <w:rsid w:val="00CE727A"/>
    <w:rsid w:val="00CF029C"/>
    <w:rsid w:val="00CF0AF0"/>
    <w:rsid w:val="00CF157E"/>
    <w:rsid w:val="00CF1631"/>
    <w:rsid w:val="00CF1834"/>
    <w:rsid w:val="00CF1AAA"/>
    <w:rsid w:val="00CF1EC2"/>
    <w:rsid w:val="00CF206C"/>
    <w:rsid w:val="00CF2ACF"/>
    <w:rsid w:val="00CF345B"/>
    <w:rsid w:val="00CF475F"/>
    <w:rsid w:val="00CF5008"/>
    <w:rsid w:val="00CF5069"/>
    <w:rsid w:val="00CF5D83"/>
    <w:rsid w:val="00CF5E34"/>
    <w:rsid w:val="00CF6707"/>
    <w:rsid w:val="00CF7101"/>
    <w:rsid w:val="00CF7327"/>
    <w:rsid w:val="00CF7385"/>
    <w:rsid w:val="00CF7539"/>
    <w:rsid w:val="00CF75C6"/>
    <w:rsid w:val="00CF7B77"/>
    <w:rsid w:val="00CF7DF5"/>
    <w:rsid w:val="00D001D2"/>
    <w:rsid w:val="00D003DB"/>
    <w:rsid w:val="00D02A80"/>
    <w:rsid w:val="00D0352D"/>
    <w:rsid w:val="00D04F01"/>
    <w:rsid w:val="00D04F8B"/>
    <w:rsid w:val="00D054EF"/>
    <w:rsid w:val="00D05637"/>
    <w:rsid w:val="00D05BA9"/>
    <w:rsid w:val="00D05EB1"/>
    <w:rsid w:val="00D05F85"/>
    <w:rsid w:val="00D0607D"/>
    <w:rsid w:val="00D06358"/>
    <w:rsid w:val="00D0650B"/>
    <w:rsid w:val="00D068AA"/>
    <w:rsid w:val="00D06E71"/>
    <w:rsid w:val="00D06E9C"/>
    <w:rsid w:val="00D0714B"/>
    <w:rsid w:val="00D0764E"/>
    <w:rsid w:val="00D07D82"/>
    <w:rsid w:val="00D10327"/>
    <w:rsid w:val="00D103C9"/>
    <w:rsid w:val="00D10BE1"/>
    <w:rsid w:val="00D11FE3"/>
    <w:rsid w:val="00D12235"/>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460"/>
    <w:rsid w:val="00D165D8"/>
    <w:rsid w:val="00D1724E"/>
    <w:rsid w:val="00D1730C"/>
    <w:rsid w:val="00D17C26"/>
    <w:rsid w:val="00D17E08"/>
    <w:rsid w:val="00D206F6"/>
    <w:rsid w:val="00D20965"/>
    <w:rsid w:val="00D20FD1"/>
    <w:rsid w:val="00D214D4"/>
    <w:rsid w:val="00D21AAA"/>
    <w:rsid w:val="00D21E6F"/>
    <w:rsid w:val="00D2218A"/>
    <w:rsid w:val="00D22B13"/>
    <w:rsid w:val="00D2371E"/>
    <w:rsid w:val="00D237E0"/>
    <w:rsid w:val="00D23A17"/>
    <w:rsid w:val="00D24B7B"/>
    <w:rsid w:val="00D24EC5"/>
    <w:rsid w:val="00D25676"/>
    <w:rsid w:val="00D2579F"/>
    <w:rsid w:val="00D2580E"/>
    <w:rsid w:val="00D265A7"/>
    <w:rsid w:val="00D2690C"/>
    <w:rsid w:val="00D27129"/>
    <w:rsid w:val="00D271D2"/>
    <w:rsid w:val="00D279E7"/>
    <w:rsid w:val="00D27F75"/>
    <w:rsid w:val="00D3046D"/>
    <w:rsid w:val="00D30497"/>
    <w:rsid w:val="00D30C4D"/>
    <w:rsid w:val="00D30F5F"/>
    <w:rsid w:val="00D31243"/>
    <w:rsid w:val="00D316D9"/>
    <w:rsid w:val="00D31B07"/>
    <w:rsid w:val="00D31B9D"/>
    <w:rsid w:val="00D3272E"/>
    <w:rsid w:val="00D32F51"/>
    <w:rsid w:val="00D32FA0"/>
    <w:rsid w:val="00D33112"/>
    <w:rsid w:val="00D331CB"/>
    <w:rsid w:val="00D3497A"/>
    <w:rsid w:val="00D35F2F"/>
    <w:rsid w:val="00D35FC6"/>
    <w:rsid w:val="00D36828"/>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D3F"/>
    <w:rsid w:val="00D45C61"/>
    <w:rsid w:val="00D45DDC"/>
    <w:rsid w:val="00D5064C"/>
    <w:rsid w:val="00D506D6"/>
    <w:rsid w:val="00D50C94"/>
    <w:rsid w:val="00D511E7"/>
    <w:rsid w:val="00D517ED"/>
    <w:rsid w:val="00D5251C"/>
    <w:rsid w:val="00D52F56"/>
    <w:rsid w:val="00D539DA"/>
    <w:rsid w:val="00D547B2"/>
    <w:rsid w:val="00D54A50"/>
    <w:rsid w:val="00D54C57"/>
    <w:rsid w:val="00D54FFD"/>
    <w:rsid w:val="00D550CA"/>
    <w:rsid w:val="00D5552C"/>
    <w:rsid w:val="00D5556D"/>
    <w:rsid w:val="00D55817"/>
    <w:rsid w:val="00D55991"/>
    <w:rsid w:val="00D55C34"/>
    <w:rsid w:val="00D55C81"/>
    <w:rsid w:val="00D5674B"/>
    <w:rsid w:val="00D56B56"/>
    <w:rsid w:val="00D56BF5"/>
    <w:rsid w:val="00D56F99"/>
    <w:rsid w:val="00D5743F"/>
    <w:rsid w:val="00D574C2"/>
    <w:rsid w:val="00D57F1F"/>
    <w:rsid w:val="00D60065"/>
    <w:rsid w:val="00D60270"/>
    <w:rsid w:val="00D60342"/>
    <w:rsid w:val="00D605C2"/>
    <w:rsid w:val="00D60733"/>
    <w:rsid w:val="00D60C60"/>
    <w:rsid w:val="00D614C5"/>
    <w:rsid w:val="00D61857"/>
    <w:rsid w:val="00D61E1D"/>
    <w:rsid w:val="00D629A4"/>
    <w:rsid w:val="00D62BDF"/>
    <w:rsid w:val="00D62EEE"/>
    <w:rsid w:val="00D631EA"/>
    <w:rsid w:val="00D64F1C"/>
    <w:rsid w:val="00D6570C"/>
    <w:rsid w:val="00D659EA"/>
    <w:rsid w:val="00D65A89"/>
    <w:rsid w:val="00D65E85"/>
    <w:rsid w:val="00D6611C"/>
    <w:rsid w:val="00D671C7"/>
    <w:rsid w:val="00D6739C"/>
    <w:rsid w:val="00D675B0"/>
    <w:rsid w:val="00D675DE"/>
    <w:rsid w:val="00D677DF"/>
    <w:rsid w:val="00D678BB"/>
    <w:rsid w:val="00D67D81"/>
    <w:rsid w:val="00D70170"/>
    <w:rsid w:val="00D702E8"/>
    <w:rsid w:val="00D70552"/>
    <w:rsid w:val="00D7083C"/>
    <w:rsid w:val="00D70D42"/>
    <w:rsid w:val="00D71285"/>
    <w:rsid w:val="00D71ABC"/>
    <w:rsid w:val="00D72125"/>
    <w:rsid w:val="00D721C5"/>
    <w:rsid w:val="00D72454"/>
    <w:rsid w:val="00D729A7"/>
    <w:rsid w:val="00D72A5B"/>
    <w:rsid w:val="00D73991"/>
    <w:rsid w:val="00D73CD4"/>
    <w:rsid w:val="00D73F06"/>
    <w:rsid w:val="00D740B2"/>
    <w:rsid w:val="00D74247"/>
    <w:rsid w:val="00D743F1"/>
    <w:rsid w:val="00D744CF"/>
    <w:rsid w:val="00D7456E"/>
    <w:rsid w:val="00D753A9"/>
    <w:rsid w:val="00D754C5"/>
    <w:rsid w:val="00D755F7"/>
    <w:rsid w:val="00D75712"/>
    <w:rsid w:val="00D75DDB"/>
    <w:rsid w:val="00D75E4B"/>
    <w:rsid w:val="00D76434"/>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17E"/>
    <w:rsid w:val="00D85FDE"/>
    <w:rsid w:val="00D8665E"/>
    <w:rsid w:val="00D869C1"/>
    <w:rsid w:val="00D86B37"/>
    <w:rsid w:val="00D86EC6"/>
    <w:rsid w:val="00D87418"/>
    <w:rsid w:val="00D87A39"/>
    <w:rsid w:val="00D87FE6"/>
    <w:rsid w:val="00D90BC3"/>
    <w:rsid w:val="00D90C93"/>
    <w:rsid w:val="00D90DB9"/>
    <w:rsid w:val="00D91001"/>
    <w:rsid w:val="00D910FF"/>
    <w:rsid w:val="00D91337"/>
    <w:rsid w:val="00D915C9"/>
    <w:rsid w:val="00D917C3"/>
    <w:rsid w:val="00D918DA"/>
    <w:rsid w:val="00D9198F"/>
    <w:rsid w:val="00D92078"/>
    <w:rsid w:val="00D926F0"/>
    <w:rsid w:val="00D927EF"/>
    <w:rsid w:val="00D92A87"/>
    <w:rsid w:val="00D9384E"/>
    <w:rsid w:val="00D93AEE"/>
    <w:rsid w:val="00D9413E"/>
    <w:rsid w:val="00D94C8D"/>
    <w:rsid w:val="00D95F88"/>
    <w:rsid w:val="00D96698"/>
    <w:rsid w:val="00D96876"/>
    <w:rsid w:val="00D96940"/>
    <w:rsid w:val="00D96B12"/>
    <w:rsid w:val="00D96F59"/>
    <w:rsid w:val="00DA006E"/>
    <w:rsid w:val="00DA0175"/>
    <w:rsid w:val="00DA099C"/>
    <w:rsid w:val="00DA0F18"/>
    <w:rsid w:val="00DA0F6E"/>
    <w:rsid w:val="00DA2125"/>
    <w:rsid w:val="00DA21EC"/>
    <w:rsid w:val="00DA24DE"/>
    <w:rsid w:val="00DA270C"/>
    <w:rsid w:val="00DA281F"/>
    <w:rsid w:val="00DA2A11"/>
    <w:rsid w:val="00DA3125"/>
    <w:rsid w:val="00DA3C5B"/>
    <w:rsid w:val="00DA3D23"/>
    <w:rsid w:val="00DA4A61"/>
    <w:rsid w:val="00DA5AFE"/>
    <w:rsid w:val="00DA61AB"/>
    <w:rsid w:val="00DA61CD"/>
    <w:rsid w:val="00DA6EE2"/>
    <w:rsid w:val="00DA6FD4"/>
    <w:rsid w:val="00DA718A"/>
    <w:rsid w:val="00DA7238"/>
    <w:rsid w:val="00DA78CF"/>
    <w:rsid w:val="00DA78D5"/>
    <w:rsid w:val="00DA7A89"/>
    <w:rsid w:val="00DA7BF4"/>
    <w:rsid w:val="00DB052F"/>
    <w:rsid w:val="00DB0C1A"/>
    <w:rsid w:val="00DB0E84"/>
    <w:rsid w:val="00DB11E5"/>
    <w:rsid w:val="00DB14D3"/>
    <w:rsid w:val="00DB154B"/>
    <w:rsid w:val="00DB1BDC"/>
    <w:rsid w:val="00DB3325"/>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55C"/>
    <w:rsid w:val="00DC1395"/>
    <w:rsid w:val="00DC1981"/>
    <w:rsid w:val="00DC2FC2"/>
    <w:rsid w:val="00DC32FC"/>
    <w:rsid w:val="00DC3D89"/>
    <w:rsid w:val="00DC4445"/>
    <w:rsid w:val="00DC4567"/>
    <w:rsid w:val="00DC4D6C"/>
    <w:rsid w:val="00DC4F47"/>
    <w:rsid w:val="00DC5059"/>
    <w:rsid w:val="00DC5860"/>
    <w:rsid w:val="00DC5BD0"/>
    <w:rsid w:val="00DC5BE2"/>
    <w:rsid w:val="00DC6284"/>
    <w:rsid w:val="00DC628E"/>
    <w:rsid w:val="00DC6747"/>
    <w:rsid w:val="00DC6AF3"/>
    <w:rsid w:val="00DC6C21"/>
    <w:rsid w:val="00DC7608"/>
    <w:rsid w:val="00DC761E"/>
    <w:rsid w:val="00DC76C2"/>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C96"/>
    <w:rsid w:val="00DE5D48"/>
    <w:rsid w:val="00DE6E4D"/>
    <w:rsid w:val="00DE7498"/>
    <w:rsid w:val="00DE75EF"/>
    <w:rsid w:val="00DE7611"/>
    <w:rsid w:val="00DE7D19"/>
    <w:rsid w:val="00DF05A0"/>
    <w:rsid w:val="00DF1059"/>
    <w:rsid w:val="00DF1162"/>
    <w:rsid w:val="00DF1BA8"/>
    <w:rsid w:val="00DF1F63"/>
    <w:rsid w:val="00DF28F2"/>
    <w:rsid w:val="00DF2B7A"/>
    <w:rsid w:val="00DF2BFF"/>
    <w:rsid w:val="00DF3798"/>
    <w:rsid w:val="00DF4FF1"/>
    <w:rsid w:val="00DF56A3"/>
    <w:rsid w:val="00DF5B33"/>
    <w:rsid w:val="00DF5ED7"/>
    <w:rsid w:val="00DF6E42"/>
    <w:rsid w:val="00DF6FD2"/>
    <w:rsid w:val="00DF72EF"/>
    <w:rsid w:val="00DF743D"/>
    <w:rsid w:val="00DF7724"/>
    <w:rsid w:val="00E000D8"/>
    <w:rsid w:val="00E00C1E"/>
    <w:rsid w:val="00E00F5F"/>
    <w:rsid w:val="00E010E6"/>
    <w:rsid w:val="00E01377"/>
    <w:rsid w:val="00E014E7"/>
    <w:rsid w:val="00E02004"/>
    <w:rsid w:val="00E0232F"/>
    <w:rsid w:val="00E0255C"/>
    <w:rsid w:val="00E026A9"/>
    <w:rsid w:val="00E0356F"/>
    <w:rsid w:val="00E035C9"/>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07C1F"/>
    <w:rsid w:val="00E10712"/>
    <w:rsid w:val="00E10DD1"/>
    <w:rsid w:val="00E1224C"/>
    <w:rsid w:val="00E1254C"/>
    <w:rsid w:val="00E12BDF"/>
    <w:rsid w:val="00E13326"/>
    <w:rsid w:val="00E13D07"/>
    <w:rsid w:val="00E14139"/>
    <w:rsid w:val="00E14356"/>
    <w:rsid w:val="00E14961"/>
    <w:rsid w:val="00E14D76"/>
    <w:rsid w:val="00E15183"/>
    <w:rsid w:val="00E15D6C"/>
    <w:rsid w:val="00E16061"/>
    <w:rsid w:val="00E164D7"/>
    <w:rsid w:val="00E1720B"/>
    <w:rsid w:val="00E203DE"/>
    <w:rsid w:val="00E20BD8"/>
    <w:rsid w:val="00E20CE7"/>
    <w:rsid w:val="00E217B1"/>
    <w:rsid w:val="00E222FA"/>
    <w:rsid w:val="00E229CE"/>
    <w:rsid w:val="00E22B4A"/>
    <w:rsid w:val="00E22D66"/>
    <w:rsid w:val="00E2323C"/>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3BFD"/>
    <w:rsid w:val="00E34662"/>
    <w:rsid w:val="00E34A2F"/>
    <w:rsid w:val="00E35A45"/>
    <w:rsid w:val="00E35F7F"/>
    <w:rsid w:val="00E36392"/>
    <w:rsid w:val="00E36B32"/>
    <w:rsid w:val="00E36EDB"/>
    <w:rsid w:val="00E373CC"/>
    <w:rsid w:val="00E37A6F"/>
    <w:rsid w:val="00E37A9C"/>
    <w:rsid w:val="00E40222"/>
    <w:rsid w:val="00E40406"/>
    <w:rsid w:val="00E40655"/>
    <w:rsid w:val="00E4082B"/>
    <w:rsid w:val="00E40835"/>
    <w:rsid w:val="00E408EC"/>
    <w:rsid w:val="00E409B5"/>
    <w:rsid w:val="00E40BCB"/>
    <w:rsid w:val="00E4208F"/>
    <w:rsid w:val="00E42E94"/>
    <w:rsid w:val="00E43006"/>
    <w:rsid w:val="00E4312A"/>
    <w:rsid w:val="00E4331B"/>
    <w:rsid w:val="00E43551"/>
    <w:rsid w:val="00E436BD"/>
    <w:rsid w:val="00E437FA"/>
    <w:rsid w:val="00E448B0"/>
    <w:rsid w:val="00E45A2C"/>
    <w:rsid w:val="00E46A6B"/>
    <w:rsid w:val="00E46A9C"/>
    <w:rsid w:val="00E47DB1"/>
    <w:rsid w:val="00E50BDD"/>
    <w:rsid w:val="00E510CF"/>
    <w:rsid w:val="00E513D7"/>
    <w:rsid w:val="00E519FE"/>
    <w:rsid w:val="00E5206C"/>
    <w:rsid w:val="00E52AAB"/>
    <w:rsid w:val="00E5448E"/>
    <w:rsid w:val="00E5455F"/>
    <w:rsid w:val="00E54E0D"/>
    <w:rsid w:val="00E55247"/>
    <w:rsid w:val="00E558E5"/>
    <w:rsid w:val="00E55B3C"/>
    <w:rsid w:val="00E55CF7"/>
    <w:rsid w:val="00E56795"/>
    <w:rsid w:val="00E56BCF"/>
    <w:rsid w:val="00E57932"/>
    <w:rsid w:val="00E606C4"/>
    <w:rsid w:val="00E60811"/>
    <w:rsid w:val="00E60AB8"/>
    <w:rsid w:val="00E6103E"/>
    <w:rsid w:val="00E617F7"/>
    <w:rsid w:val="00E6185F"/>
    <w:rsid w:val="00E61D32"/>
    <w:rsid w:val="00E63C60"/>
    <w:rsid w:val="00E64050"/>
    <w:rsid w:val="00E64B7B"/>
    <w:rsid w:val="00E6514D"/>
    <w:rsid w:val="00E65161"/>
    <w:rsid w:val="00E652C9"/>
    <w:rsid w:val="00E6593B"/>
    <w:rsid w:val="00E65A2A"/>
    <w:rsid w:val="00E65D74"/>
    <w:rsid w:val="00E65E4C"/>
    <w:rsid w:val="00E669AF"/>
    <w:rsid w:val="00E66E11"/>
    <w:rsid w:val="00E672C6"/>
    <w:rsid w:val="00E67CD7"/>
    <w:rsid w:val="00E70192"/>
    <w:rsid w:val="00E70BCB"/>
    <w:rsid w:val="00E70C55"/>
    <w:rsid w:val="00E70E34"/>
    <w:rsid w:val="00E71809"/>
    <w:rsid w:val="00E71D1E"/>
    <w:rsid w:val="00E726F2"/>
    <w:rsid w:val="00E728E2"/>
    <w:rsid w:val="00E72DAF"/>
    <w:rsid w:val="00E7323A"/>
    <w:rsid w:val="00E738FA"/>
    <w:rsid w:val="00E739B6"/>
    <w:rsid w:val="00E74A2B"/>
    <w:rsid w:val="00E75667"/>
    <w:rsid w:val="00E756D3"/>
    <w:rsid w:val="00E75A5A"/>
    <w:rsid w:val="00E76004"/>
    <w:rsid w:val="00E7608F"/>
    <w:rsid w:val="00E760D7"/>
    <w:rsid w:val="00E7618F"/>
    <w:rsid w:val="00E769CC"/>
    <w:rsid w:val="00E77124"/>
    <w:rsid w:val="00E77341"/>
    <w:rsid w:val="00E7783E"/>
    <w:rsid w:val="00E778B8"/>
    <w:rsid w:val="00E801C7"/>
    <w:rsid w:val="00E80AF8"/>
    <w:rsid w:val="00E80BED"/>
    <w:rsid w:val="00E816E8"/>
    <w:rsid w:val="00E82418"/>
    <w:rsid w:val="00E82592"/>
    <w:rsid w:val="00E825ED"/>
    <w:rsid w:val="00E827BB"/>
    <w:rsid w:val="00E82D24"/>
    <w:rsid w:val="00E8357D"/>
    <w:rsid w:val="00E83787"/>
    <w:rsid w:val="00E83C4F"/>
    <w:rsid w:val="00E84212"/>
    <w:rsid w:val="00E84C04"/>
    <w:rsid w:val="00E84F72"/>
    <w:rsid w:val="00E856A2"/>
    <w:rsid w:val="00E8572B"/>
    <w:rsid w:val="00E8575B"/>
    <w:rsid w:val="00E85929"/>
    <w:rsid w:val="00E85AD2"/>
    <w:rsid w:val="00E85E4D"/>
    <w:rsid w:val="00E879FB"/>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156"/>
    <w:rsid w:val="00EA058C"/>
    <w:rsid w:val="00EA089B"/>
    <w:rsid w:val="00EA0EEA"/>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1E48"/>
    <w:rsid w:val="00EB2635"/>
    <w:rsid w:val="00EB2961"/>
    <w:rsid w:val="00EB2E1A"/>
    <w:rsid w:val="00EB2F8A"/>
    <w:rsid w:val="00EB3268"/>
    <w:rsid w:val="00EB3298"/>
    <w:rsid w:val="00EB3422"/>
    <w:rsid w:val="00EB3799"/>
    <w:rsid w:val="00EB3939"/>
    <w:rsid w:val="00EB397E"/>
    <w:rsid w:val="00EB3CE6"/>
    <w:rsid w:val="00EB3E92"/>
    <w:rsid w:val="00EB54AB"/>
    <w:rsid w:val="00EB6009"/>
    <w:rsid w:val="00EB6065"/>
    <w:rsid w:val="00EB6257"/>
    <w:rsid w:val="00EB68E6"/>
    <w:rsid w:val="00EB6AE9"/>
    <w:rsid w:val="00EB6B2D"/>
    <w:rsid w:val="00EB71C9"/>
    <w:rsid w:val="00EB763E"/>
    <w:rsid w:val="00EB7B67"/>
    <w:rsid w:val="00EC07F1"/>
    <w:rsid w:val="00EC1E8A"/>
    <w:rsid w:val="00EC201B"/>
    <w:rsid w:val="00EC328C"/>
    <w:rsid w:val="00EC32F5"/>
    <w:rsid w:val="00EC3443"/>
    <w:rsid w:val="00EC3852"/>
    <w:rsid w:val="00EC40B3"/>
    <w:rsid w:val="00EC42B1"/>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CF7"/>
    <w:rsid w:val="00ED4483"/>
    <w:rsid w:val="00ED4A77"/>
    <w:rsid w:val="00ED4B6E"/>
    <w:rsid w:val="00ED5981"/>
    <w:rsid w:val="00ED609C"/>
    <w:rsid w:val="00ED613A"/>
    <w:rsid w:val="00ED6514"/>
    <w:rsid w:val="00ED66B2"/>
    <w:rsid w:val="00ED71BA"/>
    <w:rsid w:val="00ED728F"/>
    <w:rsid w:val="00ED73A1"/>
    <w:rsid w:val="00ED7CA2"/>
    <w:rsid w:val="00EE04F9"/>
    <w:rsid w:val="00EE05E0"/>
    <w:rsid w:val="00EE0676"/>
    <w:rsid w:val="00EE13DA"/>
    <w:rsid w:val="00EE1595"/>
    <w:rsid w:val="00EE1E71"/>
    <w:rsid w:val="00EE2087"/>
    <w:rsid w:val="00EE20C2"/>
    <w:rsid w:val="00EE2A9D"/>
    <w:rsid w:val="00EE3384"/>
    <w:rsid w:val="00EE499F"/>
    <w:rsid w:val="00EE5466"/>
    <w:rsid w:val="00EE56E2"/>
    <w:rsid w:val="00EE5FCD"/>
    <w:rsid w:val="00EE63BF"/>
    <w:rsid w:val="00EE6D45"/>
    <w:rsid w:val="00EE6E89"/>
    <w:rsid w:val="00EF0D4B"/>
    <w:rsid w:val="00EF0FE6"/>
    <w:rsid w:val="00EF1130"/>
    <w:rsid w:val="00EF1432"/>
    <w:rsid w:val="00EF1511"/>
    <w:rsid w:val="00EF1F01"/>
    <w:rsid w:val="00EF25D4"/>
    <w:rsid w:val="00EF261F"/>
    <w:rsid w:val="00EF2C39"/>
    <w:rsid w:val="00EF2C5F"/>
    <w:rsid w:val="00EF3811"/>
    <w:rsid w:val="00EF3AC4"/>
    <w:rsid w:val="00EF3FF9"/>
    <w:rsid w:val="00EF41AF"/>
    <w:rsid w:val="00EF473C"/>
    <w:rsid w:val="00EF4DB4"/>
    <w:rsid w:val="00EF5234"/>
    <w:rsid w:val="00EF55E9"/>
    <w:rsid w:val="00EF5B41"/>
    <w:rsid w:val="00EF611C"/>
    <w:rsid w:val="00EF625F"/>
    <w:rsid w:val="00EF62C0"/>
    <w:rsid w:val="00EF675B"/>
    <w:rsid w:val="00EF6BE4"/>
    <w:rsid w:val="00EF6D5A"/>
    <w:rsid w:val="00EF71E6"/>
    <w:rsid w:val="00F0058A"/>
    <w:rsid w:val="00F00630"/>
    <w:rsid w:val="00F00922"/>
    <w:rsid w:val="00F00924"/>
    <w:rsid w:val="00F0187E"/>
    <w:rsid w:val="00F0195A"/>
    <w:rsid w:val="00F01BE6"/>
    <w:rsid w:val="00F01F75"/>
    <w:rsid w:val="00F0217A"/>
    <w:rsid w:val="00F026D3"/>
    <w:rsid w:val="00F027E8"/>
    <w:rsid w:val="00F02B59"/>
    <w:rsid w:val="00F03395"/>
    <w:rsid w:val="00F034E6"/>
    <w:rsid w:val="00F03E4C"/>
    <w:rsid w:val="00F04D19"/>
    <w:rsid w:val="00F050A3"/>
    <w:rsid w:val="00F06340"/>
    <w:rsid w:val="00F0665D"/>
    <w:rsid w:val="00F066E1"/>
    <w:rsid w:val="00F06D42"/>
    <w:rsid w:val="00F06D7C"/>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0E9A"/>
    <w:rsid w:val="00F31052"/>
    <w:rsid w:val="00F317F7"/>
    <w:rsid w:val="00F318A1"/>
    <w:rsid w:val="00F319E6"/>
    <w:rsid w:val="00F31CF5"/>
    <w:rsid w:val="00F3265C"/>
    <w:rsid w:val="00F32C4A"/>
    <w:rsid w:val="00F33262"/>
    <w:rsid w:val="00F343EE"/>
    <w:rsid w:val="00F345E5"/>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64F"/>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7C"/>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3B4"/>
    <w:rsid w:val="00F8056E"/>
    <w:rsid w:val="00F805B7"/>
    <w:rsid w:val="00F810C1"/>
    <w:rsid w:val="00F81623"/>
    <w:rsid w:val="00F81D25"/>
    <w:rsid w:val="00F8245C"/>
    <w:rsid w:val="00F82928"/>
    <w:rsid w:val="00F829B9"/>
    <w:rsid w:val="00F83045"/>
    <w:rsid w:val="00F831E9"/>
    <w:rsid w:val="00F83615"/>
    <w:rsid w:val="00F83EC7"/>
    <w:rsid w:val="00F8421D"/>
    <w:rsid w:val="00F85329"/>
    <w:rsid w:val="00F85683"/>
    <w:rsid w:val="00F85841"/>
    <w:rsid w:val="00F85D51"/>
    <w:rsid w:val="00F86079"/>
    <w:rsid w:val="00F8610A"/>
    <w:rsid w:val="00F87282"/>
    <w:rsid w:val="00F874DA"/>
    <w:rsid w:val="00F878CD"/>
    <w:rsid w:val="00F878D8"/>
    <w:rsid w:val="00F87905"/>
    <w:rsid w:val="00F87A66"/>
    <w:rsid w:val="00F90C1F"/>
    <w:rsid w:val="00F912D9"/>
    <w:rsid w:val="00F91A44"/>
    <w:rsid w:val="00F91BFA"/>
    <w:rsid w:val="00F91F8F"/>
    <w:rsid w:val="00F9217B"/>
    <w:rsid w:val="00F929E1"/>
    <w:rsid w:val="00F93591"/>
    <w:rsid w:val="00F97A34"/>
    <w:rsid w:val="00F97E4A"/>
    <w:rsid w:val="00F97EA1"/>
    <w:rsid w:val="00FA003A"/>
    <w:rsid w:val="00FA05C8"/>
    <w:rsid w:val="00FA0678"/>
    <w:rsid w:val="00FA0985"/>
    <w:rsid w:val="00FA0DB6"/>
    <w:rsid w:val="00FA23F7"/>
    <w:rsid w:val="00FA27EB"/>
    <w:rsid w:val="00FA2BA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B7C7D"/>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DC1"/>
    <w:rsid w:val="00FC619B"/>
    <w:rsid w:val="00FC665F"/>
    <w:rsid w:val="00FC6C35"/>
    <w:rsid w:val="00FC6D59"/>
    <w:rsid w:val="00FC7561"/>
    <w:rsid w:val="00FC78F5"/>
    <w:rsid w:val="00FC7ACA"/>
    <w:rsid w:val="00FC7AD2"/>
    <w:rsid w:val="00FD10B3"/>
    <w:rsid w:val="00FD11C3"/>
    <w:rsid w:val="00FD154E"/>
    <w:rsid w:val="00FD24D7"/>
    <w:rsid w:val="00FD29CE"/>
    <w:rsid w:val="00FD2CE7"/>
    <w:rsid w:val="00FD3AE2"/>
    <w:rsid w:val="00FD3E41"/>
    <w:rsid w:val="00FD3EFA"/>
    <w:rsid w:val="00FD4A8C"/>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0E8D"/>
    <w:rsid w:val="00FE0F57"/>
    <w:rsid w:val="00FE1852"/>
    <w:rsid w:val="00FE1963"/>
    <w:rsid w:val="00FE1981"/>
    <w:rsid w:val="00FE1BF1"/>
    <w:rsid w:val="00FE33DB"/>
    <w:rsid w:val="00FE33F5"/>
    <w:rsid w:val="00FE3406"/>
    <w:rsid w:val="00FE352A"/>
    <w:rsid w:val="00FE37DD"/>
    <w:rsid w:val="00FE3C31"/>
    <w:rsid w:val="00FE3C48"/>
    <w:rsid w:val="00FE4015"/>
    <w:rsid w:val="00FE44F5"/>
    <w:rsid w:val="00FE4783"/>
    <w:rsid w:val="00FE480D"/>
    <w:rsid w:val="00FE4ACC"/>
    <w:rsid w:val="00FE4F80"/>
    <w:rsid w:val="00FE50DE"/>
    <w:rsid w:val="00FE570E"/>
    <w:rsid w:val="00FE6870"/>
    <w:rsid w:val="00FE713E"/>
    <w:rsid w:val="00FE7877"/>
    <w:rsid w:val="00FE7DD1"/>
    <w:rsid w:val="00FF0B4F"/>
    <w:rsid w:val="00FF0F58"/>
    <w:rsid w:val="00FF183C"/>
    <w:rsid w:val="00FF1A06"/>
    <w:rsid w:val="00FF1AD3"/>
    <w:rsid w:val="00FF1B46"/>
    <w:rsid w:val="00FF219D"/>
    <w:rsid w:val="00FF2A7B"/>
    <w:rsid w:val="00FF3882"/>
    <w:rsid w:val="00FF3D2B"/>
    <w:rsid w:val="00FF49B4"/>
    <w:rsid w:val="00FF49F4"/>
    <w:rsid w:val="00FF5C6A"/>
    <w:rsid w:val="00FF651D"/>
    <w:rsid w:val="00FF6843"/>
    <w:rsid w:val="00FF68B0"/>
    <w:rsid w:val="00FF6C25"/>
    <w:rsid w:val="010651D9"/>
    <w:rsid w:val="011F6449"/>
    <w:rsid w:val="01236AFB"/>
    <w:rsid w:val="01526B05"/>
    <w:rsid w:val="019F7441"/>
    <w:rsid w:val="01AA1D63"/>
    <w:rsid w:val="01B374F8"/>
    <w:rsid w:val="01B37585"/>
    <w:rsid w:val="01C3754B"/>
    <w:rsid w:val="01C666AA"/>
    <w:rsid w:val="01C901A1"/>
    <w:rsid w:val="01D03B74"/>
    <w:rsid w:val="01D55165"/>
    <w:rsid w:val="01DF6BF8"/>
    <w:rsid w:val="01E557E7"/>
    <w:rsid w:val="01EC2C57"/>
    <w:rsid w:val="01F55D0E"/>
    <w:rsid w:val="02055D4F"/>
    <w:rsid w:val="020A5DD5"/>
    <w:rsid w:val="02182ED7"/>
    <w:rsid w:val="025267AC"/>
    <w:rsid w:val="02551A35"/>
    <w:rsid w:val="02592A5F"/>
    <w:rsid w:val="025E5E0C"/>
    <w:rsid w:val="026B2E25"/>
    <w:rsid w:val="026C6D7F"/>
    <w:rsid w:val="02824D4D"/>
    <w:rsid w:val="02903CE2"/>
    <w:rsid w:val="02970203"/>
    <w:rsid w:val="02A46519"/>
    <w:rsid w:val="02BB56AA"/>
    <w:rsid w:val="02D432A2"/>
    <w:rsid w:val="02DA63DE"/>
    <w:rsid w:val="02DC4B10"/>
    <w:rsid w:val="02DD76CE"/>
    <w:rsid w:val="02E01C47"/>
    <w:rsid w:val="02E220EA"/>
    <w:rsid w:val="02F32FFC"/>
    <w:rsid w:val="02F36323"/>
    <w:rsid w:val="02F5619C"/>
    <w:rsid w:val="0326446A"/>
    <w:rsid w:val="032946C0"/>
    <w:rsid w:val="032D5555"/>
    <w:rsid w:val="032D69BD"/>
    <w:rsid w:val="03306B96"/>
    <w:rsid w:val="03580ADA"/>
    <w:rsid w:val="035B1188"/>
    <w:rsid w:val="036634D2"/>
    <w:rsid w:val="038C6FFE"/>
    <w:rsid w:val="038D51FF"/>
    <w:rsid w:val="039C6F9C"/>
    <w:rsid w:val="03AF090C"/>
    <w:rsid w:val="03C230FA"/>
    <w:rsid w:val="03CE4D79"/>
    <w:rsid w:val="03DD35E4"/>
    <w:rsid w:val="03DF527F"/>
    <w:rsid w:val="03F74C2A"/>
    <w:rsid w:val="04076900"/>
    <w:rsid w:val="040C7CA3"/>
    <w:rsid w:val="041A5A3B"/>
    <w:rsid w:val="042311BA"/>
    <w:rsid w:val="042B157A"/>
    <w:rsid w:val="04364B40"/>
    <w:rsid w:val="04592A8F"/>
    <w:rsid w:val="0465083F"/>
    <w:rsid w:val="048F763B"/>
    <w:rsid w:val="049F330E"/>
    <w:rsid w:val="04A949E8"/>
    <w:rsid w:val="04AA775C"/>
    <w:rsid w:val="04AF1889"/>
    <w:rsid w:val="04F66F48"/>
    <w:rsid w:val="04F83176"/>
    <w:rsid w:val="05154D59"/>
    <w:rsid w:val="05251E14"/>
    <w:rsid w:val="052B25AB"/>
    <w:rsid w:val="052E280D"/>
    <w:rsid w:val="054A5828"/>
    <w:rsid w:val="05687CD1"/>
    <w:rsid w:val="056E2007"/>
    <w:rsid w:val="057F3776"/>
    <w:rsid w:val="05A16594"/>
    <w:rsid w:val="05A7762D"/>
    <w:rsid w:val="05B34B90"/>
    <w:rsid w:val="05D9297D"/>
    <w:rsid w:val="05F526EE"/>
    <w:rsid w:val="06071298"/>
    <w:rsid w:val="060E5941"/>
    <w:rsid w:val="06110FAF"/>
    <w:rsid w:val="06293014"/>
    <w:rsid w:val="06450326"/>
    <w:rsid w:val="064918B1"/>
    <w:rsid w:val="06493CA7"/>
    <w:rsid w:val="064C13A1"/>
    <w:rsid w:val="06594D7C"/>
    <w:rsid w:val="065A6178"/>
    <w:rsid w:val="066517DD"/>
    <w:rsid w:val="066F1CF3"/>
    <w:rsid w:val="06930BB8"/>
    <w:rsid w:val="06C030AF"/>
    <w:rsid w:val="06CF1CFC"/>
    <w:rsid w:val="06DE1CAD"/>
    <w:rsid w:val="06FC4B75"/>
    <w:rsid w:val="070057A4"/>
    <w:rsid w:val="0720162A"/>
    <w:rsid w:val="07245D42"/>
    <w:rsid w:val="07264C62"/>
    <w:rsid w:val="072A0B4E"/>
    <w:rsid w:val="074E4896"/>
    <w:rsid w:val="075946FD"/>
    <w:rsid w:val="07594A68"/>
    <w:rsid w:val="075D7DCE"/>
    <w:rsid w:val="0779354C"/>
    <w:rsid w:val="077A4B56"/>
    <w:rsid w:val="078C4081"/>
    <w:rsid w:val="07984831"/>
    <w:rsid w:val="07A03C0B"/>
    <w:rsid w:val="07BB620B"/>
    <w:rsid w:val="07D518B9"/>
    <w:rsid w:val="07EC25A4"/>
    <w:rsid w:val="07F27897"/>
    <w:rsid w:val="07FF12FF"/>
    <w:rsid w:val="08061376"/>
    <w:rsid w:val="08301D9C"/>
    <w:rsid w:val="084110F3"/>
    <w:rsid w:val="08443B4F"/>
    <w:rsid w:val="08452D77"/>
    <w:rsid w:val="08602EE2"/>
    <w:rsid w:val="086401F8"/>
    <w:rsid w:val="08722223"/>
    <w:rsid w:val="08751CAA"/>
    <w:rsid w:val="087E4C40"/>
    <w:rsid w:val="08A2799E"/>
    <w:rsid w:val="08AA0601"/>
    <w:rsid w:val="08AB2C1E"/>
    <w:rsid w:val="08B95794"/>
    <w:rsid w:val="08BA334E"/>
    <w:rsid w:val="08D66AD6"/>
    <w:rsid w:val="08DA33A3"/>
    <w:rsid w:val="08E43B03"/>
    <w:rsid w:val="08E80F13"/>
    <w:rsid w:val="090010F1"/>
    <w:rsid w:val="090048DC"/>
    <w:rsid w:val="091A0B90"/>
    <w:rsid w:val="092B34F0"/>
    <w:rsid w:val="09324C16"/>
    <w:rsid w:val="09335624"/>
    <w:rsid w:val="093C74AB"/>
    <w:rsid w:val="093D6009"/>
    <w:rsid w:val="09412D78"/>
    <w:rsid w:val="0944690F"/>
    <w:rsid w:val="09535675"/>
    <w:rsid w:val="095C40C9"/>
    <w:rsid w:val="095F057D"/>
    <w:rsid w:val="09642282"/>
    <w:rsid w:val="097047C2"/>
    <w:rsid w:val="09733572"/>
    <w:rsid w:val="09772C16"/>
    <w:rsid w:val="09776735"/>
    <w:rsid w:val="098353B5"/>
    <w:rsid w:val="098743C3"/>
    <w:rsid w:val="09A84B40"/>
    <w:rsid w:val="09A92330"/>
    <w:rsid w:val="09B06B87"/>
    <w:rsid w:val="09B554AF"/>
    <w:rsid w:val="09C13146"/>
    <w:rsid w:val="09C474A0"/>
    <w:rsid w:val="09CD27F9"/>
    <w:rsid w:val="09E04166"/>
    <w:rsid w:val="09EB2C7F"/>
    <w:rsid w:val="0A015D6A"/>
    <w:rsid w:val="0A1C0718"/>
    <w:rsid w:val="0A3E7710"/>
    <w:rsid w:val="0A3F1BE7"/>
    <w:rsid w:val="0A4B0AD6"/>
    <w:rsid w:val="0A5B7E63"/>
    <w:rsid w:val="0A6A6590"/>
    <w:rsid w:val="0A717628"/>
    <w:rsid w:val="0A873124"/>
    <w:rsid w:val="0AA374A5"/>
    <w:rsid w:val="0AAB7649"/>
    <w:rsid w:val="0AAE0CA9"/>
    <w:rsid w:val="0ABC5606"/>
    <w:rsid w:val="0AD86338"/>
    <w:rsid w:val="0B0E131B"/>
    <w:rsid w:val="0B2C5B19"/>
    <w:rsid w:val="0B30404E"/>
    <w:rsid w:val="0B312440"/>
    <w:rsid w:val="0B3A1DCE"/>
    <w:rsid w:val="0B466FE3"/>
    <w:rsid w:val="0B4704BE"/>
    <w:rsid w:val="0B4C6C14"/>
    <w:rsid w:val="0B556D84"/>
    <w:rsid w:val="0B631A88"/>
    <w:rsid w:val="0B674587"/>
    <w:rsid w:val="0B683D45"/>
    <w:rsid w:val="0B7F3F11"/>
    <w:rsid w:val="0B884417"/>
    <w:rsid w:val="0B960BC6"/>
    <w:rsid w:val="0BA21BB0"/>
    <w:rsid w:val="0BB02781"/>
    <w:rsid w:val="0BB05F2E"/>
    <w:rsid w:val="0BE140C4"/>
    <w:rsid w:val="0BE906EB"/>
    <w:rsid w:val="0BF6188C"/>
    <w:rsid w:val="0BF73C91"/>
    <w:rsid w:val="0C0625A0"/>
    <w:rsid w:val="0C170175"/>
    <w:rsid w:val="0C2B7F2B"/>
    <w:rsid w:val="0C4F369E"/>
    <w:rsid w:val="0C571A41"/>
    <w:rsid w:val="0C5C1171"/>
    <w:rsid w:val="0C5E1CBC"/>
    <w:rsid w:val="0C615B50"/>
    <w:rsid w:val="0C692CAD"/>
    <w:rsid w:val="0C6A767F"/>
    <w:rsid w:val="0C8445DA"/>
    <w:rsid w:val="0C87121B"/>
    <w:rsid w:val="0CC007F7"/>
    <w:rsid w:val="0CC4187C"/>
    <w:rsid w:val="0CCC3B81"/>
    <w:rsid w:val="0CD37C32"/>
    <w:rsid w:val="0CEA36C2"/>
    <w:rsid w:val="0CF60E20"/>
    <w:rsid w:val="0CFE707A"/>
    <w:rsid w:val="0D063BDA"/>
    <w:rsid w:val="0D08375F"/>
    <w:rsid w:val="0D1644B7"/>
    <w:rsid w:val="0D184CFB"/>
    <w:rsid w:val="0D270B38"/>
    <w:rsid w:val="0D350950"/>
    <w:rsid w:val="0D40503E"/>
    <w:rsid w:val="0D4A4AC2"/>
    <w:rsid w:val="0D4A7419"/>
    <w:rsid w:val="0D4F7EE3"/>
    <w:rsid w:val="0D6D3E2C"/>
    <w:rsid w:val="0D7336B7"/>
    <w:rsid w:val="0D827401"/>
    <w:rsid w:val="0D84094E"/>
    <w:rsid w:val="0D8A00E9"/>
    <w:rsid w:val="0D8D589E"/>
    <w:rsid w:val="0DA01C73"/>
    <w:rsid w:val="0DD63300"/>
    <w:rsid w:val="0DDD453B"/>
    <w:rsid w:val="0DF50604"/>
    <w:rsid w:val="0DF702FE"/>
    <w:rsid w:val="0DF72EA7"/>
    <w:rsid w:val="0DFA7935"/>
    <w:rsid w:val="0E060E51"/>
    <w:rsid w:val="0E151F21"/>
    <w:rsid w:val="0E2D738B"/>
    <w:rsid w:val="0E3270CE"/>
    <w:rsid w:val="0E5604B2"/>
    <w:rsid w:val="0E6D5D79"/>
    <w:rsid w:val="0E745939"/>
    <w:rsid w:val="0E8033ED"/>
    <w:rsid w:val="0E9D0089"/>
    <w:rsid w:val="0EAF6844"/>
    <w:rsid w:val="0EB803EE"/>
    <w:rsid w:val="0EC12671"/>
    <w:rsid w:val="0EE53811"/>
    <w:rsid w:val="0EF94D4B"/>
    <w:rsid w:val="0F13514E"/>
    <w:rsid w:val="0F165512"/>
    <w:rsid w:val="0F1E1287"/>
    <w:rsid w:val="0F1E7653"/>
    <w:rsid w:val="0F234936"/>
    <w:rsid w:val="0F461B88"/>
    <w:rsid w:val="0F4958DC"/>
    <w:rsid w:val="0F5016BA"/>
    <w:rsid w:val="0F515DF7"/>
    <w:rsid w:val="0F596BA8"/>
    <w:rsid w:val="0F6062B7"/>
    <w:rsid w:val="0F6248D2"/>
    <w:rsid w:val="0F693536"/>
    <w:rsid w:val="0F782D7E"/>
    <w:rsid w:val="0F7B0511"/>
    <w:rsid w:val="0F7B76D9"/>
    <w:rsid w:val="0F7F39F6"/>
    <w:rsid w:val="0F816ACD"/>
    <w:rsid w:val="0F857E07"/>
    <w:rsid w:val="0F9832DB"/>
    <w:rsid w:val="0FBD20AF"/>
    <w:rsid w:val="0FBF3FD2"/>
    <w:rsid w:val="0FBF7FF3"/>
    <w:rsid w:val="0FD0094D"/>
    <w:rsid w:val="1004012E"/>
    <w:rsid w:val="102A464C"/>
    <w:rsid w:val="10345380"/>
    <w:rsid w:val="103E7A72"/>
    <w:rsid w:val="104B26C9"/>
    <w:rsid w:val="10521CAA"/>
    <w:rsid w:val="10536BBB"/>
    <w:rsid w:val="10646583"/>
    <w:rsid w:val="106964F1"/>
    <w:rsid w:val="106A4624"/>
    <w:rsid w:val="107007A5"/>
    <w:rsid w:val="107D4B15"/>
    <w:rsid w:val="108A3C80"/>
    <w:rsid w:val="10A712B1"/>
    <w:rsid w:val="10B25ED0"/>
    <w:rsid w:val="10B71B0D"/>
    <w:rsid w:val="10C26171"/>
    <w:rsid w:val="10C76AC0"/>
    <w:rsid w:val="10DC3830"/>
    <w:rsid w:val="10DD651F"/>
    <w:rsid w:val="10F33360"/>
    <w:rsid w:val="10FC16EA"/>
    <w:rsid w:val="110F1D40"/>
    <w:rsid w:val="11266F33"/>
    <w:rsid w:val="112C42A9"/>
    <w:rsid w:val="113B511A"/>
    <w:rsid w:val="113F4333"/>
    <w:rsid w:val="118926BF"/>
    <w:rsid w:val="118963A1"/>
    <w:rsid w:val="119836EC"/>
    <w:rsid w:val="11B50DB8"/>
    <w:rsid w:val="11C6025A"/>
    <w:rsid w:val="11C6522A"/>
    <w:rsid w:val="11E104CC"/>
    <w:rsid w:val="11E20309"/>
    <w:rsid w:val="11F80006"/>
    <w:rsid w:val="12245C00"/>
    <w:rsid w:val="12255233"/>
    <w:rsid w:val="12326DC2"/>
    <w:rsid w:val="12395518"/>
    <w:rsid w:val="124A7D00"/>
    <w:rsid w:val="12530213"/>
    <w:rsid w:val="127723A9"/>
    <w:rsid w:val="12862074"/>
    <w:rsid w:val="12883966"/>
    <w:rsid w:val="129E45B4"/>
    <w:rsid w:val="12D81596"/>
    <w:rsid w:val="12DA1AE3"/>
    <w:rsid w:val="13072A44"/>
    <w:rsid w:val="13323EE1"/>
    <w:rsid w:val="13433097"/>
    <w:rsid w:val="135F4BE2"/>
    <w:rsid w:val="13725868"/>
    <w:rsid w:val="1381018F"/>
    <w:rsid w:val="138B4FA4"/>
    <w:rsid w:val="139B1A0A"/>
    <w:rsid w:val="139D25C7"/>
    <w:rsid w:val="13A51DCF"/>
    <w:rsid w:val="13AF29BC"/>
    <w:rsid w:val="13B47A6B"/>
    <w:rsid w:val="13BF3CE4"/>
    <w:rsid w:val="13C94031"/>
    <w:rsid w:val="13CF716E"/>
    <w:rsid w:val="13FF287E"/>
    <w:rsid w:val="14036F77"/>
    <w:rsid w:val="14044A9A"/>
    <w:rsid w:val="140B0945"/>
    <w:rsid w:val="141008D8"/>
    <w:rsid w:val="14125FE6"/>
    <w:rsid w:val="142D2812"/>
    <w:rsid w:val="14354E49"/>
    <w:rsid w:val="14360C51"/>
    <w:rsid w:val="143D1571"/>
    <w:rsid w:val="14506500"/>
    <w:rsid w:val="14554650"/>
    <w:rsid w:val="146D271E"/>
    <w:rsid w:val="147B6340"/>
    <w:rsid w:val="14982588"/>
    <w:rsid w:val="149A5AD9"/>
    <w:rsid w:val="14A7619D"/>
    <w:rsid w:val="14B35D31"/>
    <w:rsid w:val="14BF1DA3"/>
    <w:rsid w:val="14F00380"/>
    <w:rsid w:val="150536C3"/>
    <w:rsid w:val="150C1963"/>
    <w:rsid w:val="151447A0"/>
    <w:rsid w:val="1514752E"/>
    <w:rsid w:val="151A717F"/>
    <w:rsid w:val="152754B3"/>
    <w:rsid w:val="153D24BE"/>
    <w:rsid w:val="154A6454"/>
    <w:rsid w:val="15570E77"/>
    <w:rsid w:val="15762120"/>
    <w:rsid w:val="157F1C29"/>
    <w:rsid w:val="15A563D8"/>
    <w:rsid w:val="15B5254E"/>
    <w:rsid w:val="15BE614F"/>
    <w:rsid w:val="15C72899"/>
    <w:rsid w:val="15E12BB1"/>
    <w:rsid w:val="15EA5FFB"/>
    <w:rsid w:val="15F07F9B"/>
    <w:rsid w:val="15F70061"/>
    <w:rsid w:val="15FF2F44"/>
    <w:rsid w:val="16490368"/>
    <w:rsid w:val="16924BAE"/>
    <w:rsid w:val="16A13043"/>
    <w:rsid w:val="16A8729C"/>
    <w:rsid w:val="16B33777"/>
    <w:rsid w:val="16BC70A7"/>
    <w:rsid w:val="16C6339E"/>
    <w:rsid w:val="16E85228"/>
    <w:rsid w:val="171A4BA4"/>
    <w:rsid w:val="172654C6"/>
    <w:rsid w:val="172F2D79"/>
    <w:rsid w:val="17463BEB"/>
    <w:rsid w:val="17535ED4"/>
    <w:rsid w:val="17557BEF"/>
    <w:rsid w:val="176679F6"/>
    <w:rsid w:val="17872239"/>
    <w:rsid w:val="179D1063"/>
    <w:rsid w:val="17A83E93"/>
    <w:rsid w:val="17BD5C5B"/>
    <w:rsid w:val="17C06A90"/>
    <w:rsid w:val="17D06E08"/>
    <w:rsid w:val="17D349C1"/>
    <w:rsid w:val="17D4404E"/>
    <w:rsid w:val="17EE69C9"/>
    <w:rsid w:val="180A2E6A"/>
    <w:rsid w:val="180B131B"/>
    <w:rsid w:val="181D2B9D"/>
    <w:rsid w:val="1830729E"/>
    <w:rsid w:val="183E4C8A"/>
    <w:rsid w:val="1864565C"/>
    <w:rsid w:val="1870062C"/>
    <w:rsid w:val="18817102"/>
    <w:rsid w:val="18830A15"/>
    <w:rsid w:val="18852B28"/>
    <w:rsid w:val="188B5321"/>
    <w:rsid w:val="189666D9"/>
    <w:rsid w:val="18D45952"/>
    <w:rsid w:val="18ED07C2"/>
    <w:rsid w:val="18FF0432"/>
    <w:rsid w:val="19031F81"/>
    <w:rsid w:val="19251019"/>
    <w:rsid w:val="192B12EA"/>
    <w:rsid w:val="193603ED"/>
    <w:rsid w:val="193D4A58"/>
    <w:rsid w:val="194B30AA"/>
    <w:rsid w:val="196E6B9F"/>
    <w:rsid w:val="19771B7E"/>
    <w:rsid w:val="197B015F"/>
    <w:rsid w:val="19932372"/>
    <w:rsid w:val="199944A6"/>
    <w:rsid w:val="19A20DD5"/>
    <w:rsid w:val="19AE03F1"/>
    <w:rsid w:val="19BA04B7"/>
    <w:rsid w:val="19BD63E6"/>
    <w:rsid w:val="19CE069F"/>
    <w:rsid w:val="19EE083D"/>
    <w:rsid w:val="19F351D1"/>
    <w:rsid w:val="19F60489"/>
    <w:rsid w:val="1A071A03"/>
    <w:rsid w:val="1A123A64"/>
    <w:rsid w:val="1A1B135F"/>
    <w:rsid w:val="1A1F16AE"/>
    <w:rsid w:val="1A3B5C77"/>
    <w:rsid w:val="1A400DC5"/>
    <w:rsid w:val="1A45221E"/>
    <w:rsid w:val="1A530AF8"/>
    <w:rsid w:val="1A622AE9"/>
    <w:rsid w:val="1A823C20"/>
    <w:rsid w:val="1A8765C3"/>
    <w:rsid w:val="1A966FBD"/>
    <w:rsid w:val="1A984BAD"/>
    <w:rsid w:val="1AB8220E"/>
    <w:rsid w:val="1AE4166C"/>
    <w:rsid w:val="1AF06CFB"/>
    <w:rsid w:val="1AF11B8D"/>
    <w:rsid w:val="1B0B5754"/>
    <w:rsid w:val="1B11359C"/>
    <w:rsid w:val="1B2A271F"/>
    <w:rsid w:val="1B4641B9"/>
    <w:rsid w:val="1B530544"/>
    <w:rsid w:val="1B6C1FEA"/>
    <w:rsid w:val="1B713184"/>
    <w:rsid w:val="1B965141"/>
    <w:rsid w:val="1B97283E"/>
    <w:rsid w:val="1BA209CF"/>
    <w:rsid w:val="1BA37589"/>
    <w:rsid w:val="1BA84E74"/>
    <w:rsid w:val="1BB4777D"/>
    <w:rsid w:val="1BCF0D5B"/>
    <w:rsid w:val="1BD75AB8"/>
    <w:rsid w:val="1BD87507"/>
    <w:rsid w:val="1BED296E"/>
    <w:rsid w:val="1BF64C65"/>
    <w:rsid w:val="1C0459C2"/>
    <w:rsid w:val="1C1B3B4A"/>
    <w:rsid w:val="1C4306F9"/>
    <w:rsid w:val="1C496EF9"/>
    <w:rsid w:val="1C4F6411"/>
    <w:rsid w:val="1C593BC9"/>
    <w:rsid w:val="1C6A2129"/>
    <w:rsid w:val="1C716FE3"/>
    <w:rsid w:val="1C7E2917"/>
    <w:rsid w:val="1C8467D0"/>
    <w:rsid w:val="1C88086E"/>
    <w:rsid w:val="1C8C6544"/>
    <w:rsid w:val="1C8D114F"/>
    <w:rsid w:val="1CB405F6"/>
    <w:rsid w:val="1CC4590F"/>
    <w:rsid w:val="1CCB7BB6"/>
    <w:rsid w:val="1CFF4A55"/>
    <w:rsid w:val="1D046999"/>
    <w:rsid w:val="1D0F44B1"/>
    <w:rsid w:val="1D195A00"/>
    <w:rsid w:val="1D266CE1"/>
    <w:rsid w:val="1D3544E5"/>
    <w:rsid w:val="1D3963AF"/>
    <w:rsid w:val="1D507D27"/>
    <w:rsid w:val="1D6A673C"/>
    <w:rsid w:val="1D9247AE"/>
    <w:rsid w:val="1DB567EC"/>
    <w:rsid w:val="1DB860C2"/>
    <w:rsid w:val="1DB9066B"/>
    <w:rsid w:val="1DD12F60"/>
    <w:rsid w:val="1DD51824"/>
    <w:rsid w:val="1DD74343"/>
    <w:rsid w:val="1DE005DE"/>
    <w:rsid w:val="1DF51A98"/>
    <w:rsid w:val="1DFF78AF"/>
    <w:rsid w:val="1E0F2F88"/>
    <w:rsid w:val="1E162569"/>
    <w:rsid w:val="1E1B7404"/>
    <w:rsid w:val="1E262080"/>
    <w:rsid w:val="1E3D060F"/>
    <w:rsid w:val="1E3F7D2E"/>
    <w:rsid w:val="1E4134E4"/>
    <w:rsid w:val="1E430E84"/>
    <w:rsid w:val="1E4F7829"/>
    <w:rsid w:val="1E5056D4"/>
    <w:rsid w:val="1E5062B3"/>
    <w:rsid w:val="1E523514"/>
    <w:rsid w:val="1E6E40F0"/>
    <w:rsid w:val="1E714A66"/>
    <w:rsid w:val="1E802593"/>
    <w:rsid w:val="1E811E17"/>
    <w:rsid w:val="1E967206"/>
    <w:rsid w:val="1EA703CC"/>
    <w:rsid w:val="1EB63404"/>
    <w:rsid w:val="1EB7330C"/>
    <w:rsid w:val="1F001654"/>
    <w:rsid w:val="1F0A0FF3"/>
    <w:rsid w:val="1F1545CE"/>
    <w:rsid w:val="1F203156"/>
    <w:rsid w:val="1F2D1EF2"/>
    <w:rsid w:val="1F35602D"/>
    <w:rsid w:val="1F372797"/>
    <w:rsid w:val="1F382D9D"/>
    <w:rsid w:val="1F3A1B15"/>
    <w:rsid w:val="1F3F789D"/>
    <w:rsid w:val="1F5771FF"/>
    <w:rsid w:val="1F781944"/>
    <w:rsid w:val="1FA130F6"/>
    <w:rsid w:val="1FBC1AE5"/>
    <w:rsid w:val="1FBD2084"/>
    <w:rsid w:val="1FCA53B9"/>
    <w:rsid w:val="1FCF4D3A"/>
    <w:rsid w:val="1FD06747"/>
    <w:rsid w:val="1FD578B7"/>
    <w:rsid w:val="1FE868A9"/>
    <w:rsid w:val="1FED4E93"/>
    <w:rsid w:val="20034907"/>
    <w:rsid w:val="20173E4B"/>
    <w:rsid w:val="202750D0"/>
    <w:rsid w:val="20383D9C"/>
    <w:rsid w:val="203E1903"/>
    <w:rsid w:val="2043624E"/>
    <w:rsid w:val="204E48BC"/>
    <w:rsid w:val="20651ACF"/>
    <w:rsid w:val="20755E88"/>
    <w:rsid w:val="20831A0C"/>
    <w:rsid w:val="208921B3"/>
    <w:rsid w:val="20973DEB"/>
    <w:rsid w:val="209B0B03"/>
    <w:rsid w:val="20B26522"/>
    <w:rsid w:val="20B44310"/>
    <w:rsid w:val="20B77881"/>
    <w:rsid w:val="20C15723"/>
    <w:rsid w:val="20C8677A"/>
    <w:rsid w:val="20CB7863"/>
    <w:rsid w:val="20DB53A4"/>
    <w:rsid w:val="20E24984"/>
    <w:rsid w:val="20EC5803"/>
    <w:rsid w:val="20F546B7"/>
    <w:rsid w:val="211116EB"/>
    <w:rsid w:val="211E3428"/>
    <w:rsid w:val="21276C23"/>
    <w:rsid w:val="214D6B5B"/>
    <w:rsid w:val="215C0D30"/>
    <w:rsid w:val="216058A9"/>
    <w:rsid w:val="216133FC"/>
    <w:rsid w:val="217652AB"/>
    <w:rsid w:val="21796D43"/>
    <w:rsid w:val="21811E7F"/>
    <w:rsid w:val="218C669E"/>
    <w:rsid w:val="21C435D1"/>
    <w:rsid w:val="21C60959"/>
    <w:rsid w:val="21CA5B44"/>
    <w:rsid w:val="21D56769"/>
    <w:rsid w:val="21E52EF3"/>
    <w:rsid w:val="21E8617E"/>
    <w:rsid w:val="21F67DC0"/>
    <w:rsid w:val="21FB5D7B"/>
    <w:rsid w:val="220B1C3D"/>
    <w:rsid w:val="221D1D20"/>
    <w:rsid w:val="22334A87"/>
    <w:rsid w:val="224B518A"/>
    <w:rsid w:val="224C4AF2"/>
    <w:rsid w:val="224F66C7"/>
    <w:rsid w:val="22525F24"/>
    <w:rsid w:val="22682C67"/>
    <w:rsid w:val="228F28EA"/>
    <w:rsid w:val="22B440FE"/>
    <w:rsid w:val="22BE6801"/>
    <w:rsid w:val="22E54EF0"/>
    <w:rsid w:val="22E72888"/>
    <w:rsid w:val="22EF5362"/>
    <w:rsid w:val="22F8048F"/>
    <w:rsid w:val="23055AB5"/>
    <w:rsid w:val="232E3EB1"/>
    <w:rsid w:val="233500BF"/>
    <w:rsid w:val="23377FF7"/>
    <w:rsid w:val="234020F0"/>
    <w:rsid w:val="23437E94"/>
    <w:rsid w:val="236830D0"/>
    <w:rsid w:val="236B425F"/>
    <w:rsid w:val="238241FC"/>
    <w:rsid w:val="23836192"/>
    <w:rsid w:val="238E2BA1"/>
    <w:rsid w:val="23901F29"/>
    <w:rsid w:val="239312F5"/>
    <w:rsid w:val="23940548"/>
    <w:rsid w:val="23947D30"/>
    <w:rsid w:val="23992900"/>
    <w:rsid w:val="239C0061"/>
    <w:rsid w:val="239D2DE4"/>
    <w:rsid w:val="23B908A4"/>
    <w:rsid w:val="23CE18C6"/>
    <w:rsid w:val="23D25AD3"/>
    <w:rsid w:val="23D3465C"/>
    <w:rsid w:val="23E95BEF"/>
    <w:rsid w:val="23FD0064"/>
    <w:rsid w:val="23FE73F7"/>
    <w:rsid w:val="23FF03FB"/>
    <w:rsid w:val="240D73C0"/>
    <w:rsid w:val="241B7813"/>
    <w:rsid w:val="243A0633"/>
    <w:rsid w:val="24407C0C"/>
    <w:rsid w:val="2446522A"/>
    <w:rsid w:val="245375B0"/>
    <w:rsid w:val="24625C51"/>
    <w:rsid w:val="24642C0A"/>
    <w:rsid w:val="246B7EF2"/>
    <w:rsid w:val="246F478D"/>
    <w:rsid w:val="24731075"/>
    <w:rsid w:val="24757848"/>
    <w:rsid w:val="24843087"/>
    <w:rsid w:val="24AD153A"/>
    <w:rsid w:val="24B22173"/>
    <w:rsid w:val="24B95AD9"/>
    <w:rsid w:val="24BE24DA"/>
    <w:rsid w:val="24C3687B"/>
    <w:rsid w:val="24CF5825"/>
    <w:rsid w:val="24CF687B"/>
    <w:rsid w:val="24D663E6"/>
    <w:rsid w:val="24D77F2B"/>
    <w:rsid w:val="24D87CA0"/>
    <w:rsid w:val="24E31DCF"/>
    <w:rsid w:val="25201F1F"/>
    <w:rsid w:val="2531498F"/>
    <w:rsid w:val="25321CC3"/>
    <w:rsid w:val="25331C17"/>
    <w:rsid w:val="25404420"/>
    <w:rsid w:val="255A0170"/>
    <w:rsid w:val="25706A02"/>
    <w:rsid w:val="25746F7F"/>
    <w:rsid w:val="258B00E2"/>
    <w:rsid w:val="25A917A6"/>
    <w:rsid w:val="25AA39E1"/>
    <w:rsid w:val="25B37991"/>
    <w:rsid w:val="25BE27CC"/>
    <w:rsid w:val="25C03857"/>
    <w:rsid w:val="25E26D32"/>
    <w:rsid w:val="25F17508"/>
    <w:rsid w:val="25F74A5C"/>
    <w:rsid w:val="26064C71"/>
    <w:rsid w:val="2628662C"/>
    <w:rsid w:val="26290587"/>
    <w:rsid w:val="262D45DE"/>
    <w:rsid w:val="26471324"/>
    <w:rsid w:val="265C0D35"/>
    <w:rsid w:val="26A43B88"/>
    <w:rsid w:val="26A53EF9"/>
    <w:rsid w:val="26A94201"/>
    <w:rsid w:val="26AC274F"/>
    <w:rsid w:val="26C357B5"/>
    <w:rsid w:val="26CD4AAF"/>
    <w:rsid w:val="26CE6CAB"/>
    <w:rsid w:val="26D865F8"/>
    <w:rsid w:val="26DB7EAB"/>
    <w:rsid w:val="26F45411"/>
    <w:rsid w:val="26F61189"/>
    <w:rsid w:val="27044A29"/>
    <w:rsid w:val="27051147"/>
    <w:rsid w:val="271D34C8"/>
    <w:rsid w:val="27217F7D"/>
    <w:rsid w:val="27260426"/>
    <w:rsid w:val="27277595"/>
    <w:rsid w:val="27304B97"/>
    <w:rsid w:val="274570EF"/>
    <w:rsid w:val="27554A6E"/>
    <w:rsid w:val="27587546"/>
    <w:rsid w:val="275973F8"/>
    <w:rsid w:val="275D12F0"/>
    <w:rsid w:val="276142BF"/>
    <w:rsid w:val="27651E6B"/>
    <w:rsid w:val="276C31F9"/>
    <w:rsid w:val="276E6156"/>
    <w:rsid w:val="276F2180"/>
    <w:rsid w:val="27783712"/>
    <w:rsid w:val="27825DF8"/>
    <w:rsid w:val="27907362"/>
    <w:rsid w:val="27AB76E3"/>
    <w:rsid w:val="27AE62A0"/>
    <w:rsid w:val="27BC1E12"/>
    <w:rsid w:val="27F679B1"/>
    <w:rsid w:val="280903E7"/>
    <w:rsid w:val="280D66D2"/>
    <w:rsid w:val="28333E1D"/>
    <w:rsid w:val="28382820"/>
    <w:rsid w:val="28454BD6"/>
    <w:rsid w:val="28455253"/>
    <w:rsid w:val="28551971"/>
    <w:rsid w:val="285B1C53"/>
    <w:rsid w:val="285C5774"/>
    <w:rsid w:val="286F47E3"/>
    <w:rsid w:val="28710CD1"/>
    <w:rsid w:val="289F7086"/>
    <w:rsid w:val="28C32028"/>
    <w:rsid w:val="28CC20D6"/>
    <w:rsid w:val="28CC490F"/>
    <w:rsid w:val="28DE40AA"/>
    <w:rsid w:val="290D5F1A"/>
    <w:rsid w:val="29123DBD"/>
    <w:rsid w:val="29345E77"/>
    <w:rsid w:val="293D309F"/>
    <w:rsid w:val="29451F54"/>
    <w:rsid w:val="294C65AD"/>
    <w:rsid w:val="29720796"/>
    <w:rsid w:val="29806583"/>
    <w:rsid w:val="298A0528"/>
    <w:rsid w:val="298B2F16"/>
    <w:rsid w:val="298B3C4C"/>
    <w:rsid w:val="298D3A34"/>
    <w:rsid w:val="299261DF"/>
    <w:rsid w:val="29AE665D"/>
    <w:rsid w:val="29F26D24"/>
    <w:rsid w:val="2A15033F"/>
    <w:rsid w:val="2A1662C1"/>
    <w:rsid w:val="2A1C7367"/>
    <w:rsid w:val="2A2815FA"/>
    <w:rsid w:val="2A2C0A1E"/>
    <w:rsid w:val="2A465763"/>
    <w:rsid w:val="2A490E0C"/>
    <w:rsid w:val="2A5D7CE8"/>
    <w:rsid w:val="2A6254EB"/>
    <w:rsid w:val="2A6D6092"/>
    <w:rsid w:val="2A7D76B4"/>
    <w:rsid w:val="2A924D25"/>
    <w:rsid w:val="2A98397C"/>
    <w:rsid w:val="2AAF3B29"/>
    <w:rsid w:val="2ABC2174"/>
    <w:rsid w:val="2ABE71EB"/>
    <w:rsid w:val="2ACD7074"/>
    <w:rsid w:val="2AD91BCC"/>
    <w:rsid w:val="2AF424EE"/>
    <w:rsid w:val="2B0320B2"/>
    <w:rsid w:val="2B067A32"/>
    <w:rsid w:val="2B0A0BD5"/>
    <w:rsid w:val="2B1274C1"/>
    <w:rsid w:val="2B37387D"/>
    <w:rsid w:val="2B437463"/>
    <w:rsid w:val="2B5305D8"/>
    <w:rsid w:val="2B5A3101"/>
    <w:rsid w:val="2B7807EE"/>
    <w:rsid w:val="2B794B7B"/>
    <w:rsid w:val="2B9D027C"/>
    <w:rsid w:val="2BBF00EC"/>
    <w:rsid w:val="2BC37CFD"/>
    <w:rsid w:val="2BCC24B9"/>
    <w:rsid w:val="2BD5237F"/>
    <w:rsid w:val="2BE536CE"/>
    <w:rsid w:val="2BE617CC"/>
    <w:rsid w:val="2BE758D9"/>
    <w:rsid w:val="2BED05CF"/>
    <w:rsid w:val="2C09049E"/>
    <w:rsid w:val="2C0A653C"/>
    <w:rsid w:val="2C191F85"/>
    <w:rsid w:val="2C1F6386"/>
    <w:rsid w:val="2C261412"/>
    <w:rsid w:val="2C44719E"/>
    <w:rsid w:val="2C5D75B5"/>
    <w:rsid w:val="2C6B1CD2"/>
    <w:rsid w:val="2C82701B"/>
    <w:rsid w:val="2CBA67B5"/>
    <w:rsid w:val="2CD51841"/>
    <w:rsid w:val="2CE82D6F"/>
    <w:rsid w:val="2CEE58E5"/>
    <w:rsid w:val="2D0637A8"/>
    <w:rsid w:val="2D270798"/>
    <w:rsid w:val="2D2B320F"/>
    <w:rsid w:val="2D343236"/>
    <w:rsid w:val="2D354301"/>
    <w:rsid w:val="2D4523E9"/>
    <w:rsid w:val="2D492B09"/>
    <w:rsid w:val="2DAF6CA4"/>
    <w:rsid w:val="2DC43CE0"/>
    <w:rsid w:val="2DD15014"/>
    <w:rsid w:val="2DDE582B"/>
    <w:rsid w:val="2DF72DE4"/>
    <w:rsid w:val="2E0220AF"/>
    <w:rsid w:val="2E4A4F85"/>
    <w:rsid w:val="2E4B082A"/>
    <w:rsid w:val="2E550FCB"/>
    <w:rsid w:val="2E5D4E86"/>
    <w:rsid w:val="2E5D790B"/>
    <w:rsid w:val="2E9A3C18"/>
    <w:rsid w:val="2EA80FBB"/>
    <w:rsid w:val="2EB66328"/>
    <w:rsid w:val="2EBB0FEE"/>
    <w:rsid w:val="2EBC2976"/>
    <w:rsid w:val="2EC63002"/>
    <w:rsid w:val="2ED457CC"/>
    <w:rsid w:val="2EDF0755"/>
    <w:rsid w:val="2EEC4152"/>
    <w:rsid w:val="2EFE6E2D"/>
    <w:rsid w:val="2EFF5C5E"/>
    <w:rsid w:val="2F077C8B"/>
    <w:rsid w:val="2F0A6B38"/>
    <w:rsid w:val="2F450658"/>
    <w:rsid w:val="2F656EAC"/>
    <w:rsid w:val="2F946CCB"/>
    <w:rsid w:val="2FA45AF0"/>
    <w:rsid w:val="2FB749F7"/>
    <w:rsid w:val="2FB971F8"/>
    <w:rsid w:val="2FBC180A"/>
    <w:rsid w:val="2FD25781"/>
    <w:rsid w:val="2FE689DC"/>
    <w:rsid w:val="2FFD7934"/>
    <w:rsid w:val="300C109F"/>
    <w:rsid w:val="301D2709"/>
    <w:rsid w:val="3029612C"/>
    <w:rsid w:val="305562B4"/>
    <w:rsid w:val="306E6785"/>
    <w:rsid w:val="30733ACD"/>
    <w:rsid w:val="30874C00"/>
    <w:rsid w:val="308C3862"/>
    <w:rsid w:val="309379D8"/>
    <w:rsid w:val="309E30AE"/>
    <w:rsid w:val="30A270F7"/>
    <w:rsid w:val="30AC4667"/>
    <w:rsid w:val="30B31F80"/>
    <w:rsid w:val="30BD2838"/>
    <w:rsid w:val="30DF1478"/>
    <w:rsid w:val="30EC586F"/>
    <w:rsid w:val="30F1626C"/>
    <w:rsid w:val="30FC114A"/>
    <w:rsid w:val="31056940"/>
    <w:rsid w:val="310E072B"/>
    <w:rsid w:val="31126BC0"/>
    <w:rsid w:val="313E4222"/>
    <w:rsid w:val="313F6C9D"/>
    <w:rsid w:val="3157541A"/>
    <w:rsid w:val="315C11AE"/>
    <w:rsid w:val="31741628"/>
    <w:rsid w:val="319C6071"/>
    <w:rsid w:val="31A71604"/>
    <w:rsid w:val="31A74577"/>
    <w:rsid w:val="31AC537E"/>
    <w:rsid w:val="31D1026A"/>
    <w:rsid w:val="31D10829"/>
    <w:rsid w:val="31E3679B"/>
    <w:rsid w:val="31E732FD"/>
    <w:rsid w:val="31EC1380"/>
    <w:rsid w:val="31ED32D3"/>
    <w:rsid w:val="31FB2F1E"/>
    <w:rsid w:val="320F1351"/>
    <w:rsid w:val="321832AC"/>
    <w:rsid w:val="321C54A6"/>
    <w:rsid w:val="321D4EFD"/>
    <w:rsid w:val="322235E2"/>
    <w:rsid w:val="322249AD"/>
    <w:rsid w:val="32274E55"/>
    <w:rsid w:val="322F3E02"/>
    <w:rsid w:val="32300DF4"/>
    <w:rsid w:val="32517576"/>
    <w:rsid w:val="32532899"/>
    <w:rsid w:val="325539A0"/>
    <w:rsid w:val="327970BC"/>
    <w:rsid w:val="32987847"/>
    <w:rsid w:val="32BE5C2C"/>
    <w:rsid w:val="32C06BE1"/>
    <w:rsid w:val="32C87D7A"/>
    <w:rsid w:val="32CA1ECA"/>
    <w:rsid w:val="32CC35C9"/>
    <w:rsid w:val="32CD0204"/>
    <w:rsid w:val="32D45501"/>
    <w:rsid w:val="32EB591A"/>
    <w:rsid w:val="32FB6478"/>
    <w:rsid w:val="33002386"/>
    <w:rsid w:val="33116FC2"/>
    <w:rsid w:val="331E18C3"/>
    <w:rsid w:val="332130EA"/>
    <w:rsid w:val="33263B3F"/>
    <w:rsid w:val="336963EB"/>
    <w:rsid w:val="336F4B55"/>
    <w:rsid w:val="33816EEB"/>
    <w:rsid w:val="338418CB"/>
    <w:rsid w:val="33920C8E"/>
    <w:rsid w:val="33EB55CD"/>
    <w:rsid w:val="33EC4C02"/>
    <w:rsid w:val="33F64577"/>
    <w:rsid w:val="33F90F1D"/>
    <w:rsid w:val="340D2360"/>
    <w:rsid w:val="3410665D"/>
    <w:rsid w:val="341D7D55"/>
    <w:rsid w:val="34211214"/>
    <w:rsid w:val="342E63AB"/>
    <w:rsid w:val="34372F0D"/>
    <w:rsid w:val="34452E08"/>
    <w:rsid w:val="347869CC"/>
    <w:rsid w:val="34861C85"/>
    <w:rsid w:val="34950E68"/>
    <w:rsid w:val="34986E94"/>
    <w:rsid w:val="34A04CA4"/>
    <w:rsid w:val="34A1032B"/>
    <w:rsid w:val="34AF62C9"/>
    <w:rsid w:val="34CB4388"/>
    <w:rsid w:val="34CC7465"/>
    <w:rsid w:val="34D60B6F"/>
    <w:rsid w:val="34EC7728"/>
    <w:rsid w:val="34FA6E12"/>
    <w:rsid w:val="351849C1"/>
    <w:rsid w:val="352C3FC8"/>
    <w:rsid w:val="3530105E"/>
    <w:rsid w:val="3534120B"/>
    <w:rsid w:val="35421955"/>
    <w:rsid w:val="35584DBD"/>
    <w:rsid w:val="35605EBF"/>
    <w:rsid w:val="356814A4"/>
    <w:rsid w:val="356B4AF0"/>
    <w:rsid w:val="35892F22"/>
    <w:rsid w:val="358D5588"/>
    <w:rsid w:val="35B82254"/>
    <w:rsid w:val="35D430CF"/>
    <w:rsid w:val="35FC6BDB"/>
    <w:rsid w:val="36140CE4"/>
    <w:rsid w:val="36202A7A"/>
    <w:rsid w:val="362F4063"/>
    <w:rsid w:val="363A3B40"/>
    <w:rsid w:val="364D3561"/>
    <w:rsid w:val="3651597E"/>
    <w:rsid w:val="365302AE"/>
    <w:rsid w:val="36607A0A"/>
    <w:rsid w:val="36637EBD"/>
    <w:rsid w:val="366E227C"/>
    <w:rsid w:val="366F2E0D"/>
    <w:rsid w:val="367B6A5C"/>
    <w:rsid w:val="369037B8"/>
    <w:rsid w:val="36A74ADA"/>
    <w:rsid w:val="36AD60D5"/>
    <w:rsid w:val="36B224F9"/>
    <w:rsid w:val="36EC0CC9"/>
    <w:rsid w:val="36F542E6"/>
    <w:rsid w:val="36FF5DA6"/>
    <w:rsid w:val="3708103B"/>
    <w:rsid w:val="371F3DE4"/>
    <w:rsid w:val="372C6501"/>
    <w:rsid w:val="373F410B"/>
    <w:rsid w:val="37860176"/>
    <w:rsid w:val="37937815"/>
    <w:rsid w:val="37AE6F16"/>
    <w:rsid w:val="37B504AC"/>
    <w:rsid w:val="37C2659A"/>
    <w:rsid w:val="37C9553C"/>
    <w:rsid w:val="37CC7C0E"/>
    <w:rsid w:val="37CD13CC"/>
    <w:rsid w:val="37E6445A"/>
    <w:rsid w:val="37EE7094"/>
    <w:rsid w:val="37FF5048"/>
    <w:rsid w:val="380C5081"/>
    <w:rsid w:val="38296C89"/>
    <w:rsid w:val="383002EB"/>
    <w:rsid w:val="38367638"/>
    <w:rsid w:val="38586797"/>
    <w:rsid w:val="38613F89"/>
    <w:rsid w:val="38A5656B"/>
    <w:rsid w:val="38A722E3"/>
    <w:rsid w:val="38BC0149"/>
    <w:rsid w:val="38D649E2"/>
    <w:rsid w:val="38D87D1C"/>
    <w:rsid w:val="38DE1A7D"/>
    <w:rsid w:val="3914724D"/>
    <w:rsid w:val="39423DBA"/>
    <w:rsid w:val="39535394"/>
    <w:rsid w:val="3955445B"/>
    <w:rsid w:val="39555099"/>
    <w:rsid w:val="39636459"/>
    <w:rsid w:val="396501B3"/>
    <w:rsid w:val="396B7F6C"/>
    <w:rsid w:val="39804AD4"/>
    <w:rsid w:val="39A02358"/>
    <w:rsid w:val="39AE1450"/>
    <w:rsid w:val="39B417A9"/>
    <w:rsid w:val="39FC5695"/>
    <w:rsid w:val="39FD39FD"/>
    <w:rsid w:val="3A006D8E"/>
    <w:rsid w:val="3A1125F9"/>
    <w:rsid w:val="3A1C273B"/>
    <w:rsid w:val="3A277F29"/>
    <w:rsid w:val="3A3651E5"/>
    <w:rsid w:val="3A3D7FA2"/>
    <w:rsid w:val="3A4E3D7D"/>
    <w:rsid w:val="3A5151D4"/>
    <w:rsid w:val="3A520F44"/>
    <w:rsid w:val="3A656F28"/>
    <w:rsid w:val="3A744481"/>
    <w:rsid w:val="3A751EF1"/>
    <w:rsid w:val="3A7D68D2"/>
    <w:rsid w:val="3A8C7BEF"/>
    <w:rsid w:val="3A906246"/>
    <w:rsid w:val="3AE72E6B"/>
    <w:rsid w:val="3AF570E7"/>
    <w:rsid w:val="3AF92B9E"/>
    <w:rsid w:val="3B0F5F8C"/>
    <w:rsid w:val="3B2349B7"/>
    <w:rsid w:val="3B3745A3"/>
    <w:rsid w:val="3B616CFF"/>
    <w:rsid w:val="3B6259F6"/>
    <w:rsid w:val="3B766A85"/>
    <w:rsid w:val="3B795F32"/>
    <w:rsid w:val="3B954DA5"/>
    <w:rsid w:val="3B976654"/>
    <w:rsid w:val="3BA6683D"/>
    <w:rsid w:val="3BC01EFC"/>
    <w:rsid w:val="3BC41DC5"/>
    <w:rsid w:val="3BCA786A"/>
    <w:rsid w:val="3BD31E2F"/>
    <w:rsid w:val="3BD75874"/>
    <w:rsid w:val="3BF15831"/>
    <w:rsid w:val="3C015D59"/>
    <w:rsid w:val="3C105946"/>
    <w:rsid w:val="3C207D26"/>
    <w:rsid w:val="3C38549C"/>
    <w:rsid w:val="3C3976F6"/>
    <w:rsid w:val="3C471448"/>
    <w:rsid w:val="3C56216E"/>
    <w:rsid w:val="3C5F759A"/>
    <w:rsid w:val="3C6C525A"/>
    <w:rsid w:val="3C6F3118"/>
    <w:rsid w:val="3C722C08"/>
    <w:rsid w:val="3C7C100C"/>
    <w:rsid w:val="3C9817A8"/>
    <w:rsid w:val="3CB274A9"/>
    <w:rsid w:val="3CCE23CB"/>
    <w:rsid w:val="3CD17D17"/>
    <w:rsid w:val="3CE228C2"/>
    <w:rsid w:val="3CEB2FA8"/>
    <w:rsid w:val="3D087C29"/>
    <w:rsid w:val="3D155CEE"/>
    <w:rsid w:val="3D3C7F39"/>
    <w:rsid w:val="3D440F09"/>
    <w:rsid w:val="3D4504A0"/>
    <w:rsid w:val="3D571A09"/>
    <w:rsid w:val="3D78424E"/>
    <w:rsid w:val="3D8734BB"/>
    <w:rsid w:val="3D877445"/>
    <w:rsid w:val="3D9A11D4"/>
    <w:rsid w:val="3DA16D89"/>
    <w:rsid w:val="3DA364BE"/>
    <w:rsid w:val="3DA44506"/>
    <w:rsid w:val="3DD764CD"/>
    <w:rsid w:val="3DE041CB"/>
    <w:rsid w:val="3E0D48F6"/>
    <w:rsid w:val="3E1868B4"/>
    <w:rsid w:val="3E377251"/>
    <w:rsid w:val="3E42664B"/>
    <w:rsid w:val="3E5A7334"/>
    <w:rsid w:val="3E7B5D6B"/>
    <w:rsid w:val="3E843E66"/>
    <w:rsid w:val="3E8F51FE"/>
    <w:rsid w:val="3E926F87"/>
    <w:rsid w:val="3E946E66"/>
    <w:rsid w:val="3E9A59DE"/>
    <w:rsid w:val="3EA73EAF"/>
    <w:rsid w:val="3EAA333E"/>
    <w:rsid w:val="3EAF4836"/>
    <w:rsid w:val="3EC33DFA"/>
    <w:rsid w:val="3ED56474"/>
    <w:rsid w:val="3ED82DBD"/>
    <w:rsid w:val="3ED92B93"/>
    <w:rsid w:val="3EE25143"/>
    <w:rsid w:val="3EE25492"/>
    <w:rsid w:val="3EE53B65"/>
    <w:rsid w:val="3F060E16"/>
    <w:rsid w:val="3F1D1096"/>
    <w:rsid w:val="3F2F0234"/>
    <w:rsid w:val="3F2F3033"/>
    <w:rsid w:val="3F3348D1"/>
    <w:rsid w:val="3F4946BF"/>
    <w:rsid w:val="3F6363FE"/>
    <w:rsid w:val="3F756B8F"/>
    <w:rsid w:val="3F76BACC"/>
    <w:rsid w:val="3F84061B"/>
    <w:rsid w:val="3F8E6DA3"/>
    <w:rsid w:val="3F95482B"/>
    <w:rsid w:val="3FA97C9E"/>
    <w:rsid w:val="3FFF4C2B"/>
    <w:rsid w:val="4019356B"/>
    <w:rsid w:val="40270B72"/>
    <w:rsid w:val="402D7572"/>
    <w:rsid w:val="40356427"/>
    <w:rsid w:val="404F0725"/>
    <w:rsid w:val="40592157"/>
    <w:rsid w:val="406E1CAE"/>
    <w:rsid w:val="407707ED"/>
    <w:rsid w:val="4086004E"/>
    <w:rsid w:val="40970E8F"/>
    <w:rsid w:val="409941C9"/>
    <w:rsid w:val="40A0133A"/>
    <w:rsid w:val="40C31A53"/>
    <w:rsid w:val="40D94361"/>
    <w:rsid w:val="40E045E4"/>
    <w:rsid w:val="40EB7C06"/>
    <w:rsid w:val="40F80B23"/>
    <w:rsid w:val="40FF545D"/>
    <w:rsid w:val="410067C8"/>
    <w:rsid w:val="410440E3"/>
    <w:rsid w:val="410C28BC"/>
    <w:rsid w:val="410D6D4A"/>
    <w:rsid w:val="41297546"/>
    <w:rsid w:val="4137363C"/>
    <w:rsid w:val="415E19AD"/>
    <w:rsid w:val="41700F39"/>
    <w:rsid w:val="418F0D2A"/>
    <w:rsid w:val="41915F2E"/>
    <w:rsid w:val="41B53241"/>
    <w:rsid w:val="41CF3656"/>
    <w:rsid w:val="41D01505"/>
    <w:rsid w:val="41D76447"/>
    <w:rsid w:val="420460B1"/>
    <w:rsid w:val="42186000"/>
    <w:rsid w:val="422C1F22"/>
    <w:rsid w:val="42335604"/>
    <w:rsid w:val="423D15C3"/>
    <w:rsid w:val="42474939"/>
    <w:rsid w:val="424C3C57"/>
    <w:rsid w:val="42613FF3"/>
    <w:rsid w:val="42660D96"/>
    <w:rsid w:val="427B217E"/>
    <w:rsid w:val="42846AE2"/>
    <w:rsid w:val="428667D2"/>
    <w:rsid w:val="429071F2"/>
    <w:rsid w:val="42BF7BBC"/>
    <w:rsid w:val="42C5318D"/>
    <w:rsid w:val="42CB68B2"/>
    <w:rsid w:val="42CD1CE0"/>
    <w:rsid w:val="42D44BBD"/>
    <w:rsid w:val="42E1381E"/>
    <w:rsid w:val="42E61C5A"/>
    <w:rsid w:val="42E859D2"/>
    <w:rsid w:val="42ED123B"/>
    <w:rsid w:val="42ED6459"/>
    <w:rsid w:val="42FE58DD"/>
    <w:rsid w:val="42FF2D1C"/>
    <w:rsid w:val="43174B3D"/>
    <w:rsid w:val="431F194D"/>
    <w:rsid w:val="43341ED9"/>
    <w:rsid w:val="434B790E"/>
    <w:rsid w:val="435117C9"/>
    <w:rsid w:val="4360274F"/>
    <w:rsid w:val="43663B9B"/>
    <w:rsid w:val="4388593B"/>
    <w:rsid w:val="43977AB6"/>
    <w:rsid w:val="43A3342B"/>
    <w:rsid w:val="43A62286"/>
    <w:rsid w:val="43B568E7"/>
    <w:rsid w:val="43C77C27"/>
    <w:rsid w:val="43CC2BFE"/>
    <w:rsid w:val="43D23F8D"/>
    <w:rsid w:val="43D702E1"/>
    <w:rsid w:val="43DE09EE"/>
    <w:rsid w:val="44002FAD"/>
    <w:rsid w:val="44024872"/>
    <w:rsid w:val="44077BDE"/>
    <w:rsid w:val="4426372F"/>
    <w:rsid w:val="442944F4"/>
    <w:rsid w:val="4436451B"/>
    <w:rsid w:val="44494EFB"/>
    <w:rsid w:val="44511355"/>
    <w:rsid w:val="446948F1"/>
    <w:rsid w:val="446E5065"/>
    <w:rsid w:val="44900E56"/>
    <w:rsid w:val="449101DD"/>
    <w:rsid w:val="44A41DCD"/>
    <w:rsid w:val="44DD478D"/>
    <w:rsid w:val="44DE1391"/>
    <w:rsid w:val="44EE65DA"/>
    <w:rsid w:val="450137F0"/>
    <w:rsid w:val="450A739D"/>
    <w:rsid w:val="451B225C"/>
    <w:rsid w:val="452410C9"/>
    <w:rsid w:val="4530540F"/>
    <w:rsid w:val="45317DFB"/>
    <w:rsid w:val="4542028B"/>
    <w:rsid w:val="45460E2C"/>
    <w:rsid w:val="456414A4"/>
    <w:rsid w:val="456D3CE4"/>
    <w:rsid w:val="4579042C"/>
    <w:rsid w:val="457A6288"/>
    <w:rsid w:val="457F0571"/>
    <w:rsid w:val="457F5B7C"/>
    <w:rsid w:val="45851176"/>
    <w:rsid w:val="45AA1F66"/>
    <w:rsid w:val="45B84D75"/>
    <w:rsid w:val="45C0512D"/>
    <w:rsid w:val="45C63B94"/>
    <w:rsid w:val="45D961AD"/>
    <w:rsid w:val="45E83F3B"/>
    <w:rsid w:val="45EE1AFF"/>
    <w:rsid w:val="46001285"/>
    <w:rsid w:val="460E7DA5"/>
    <w:rsid w:val="46422483"/>
    <w:rsid w:val="465348A0"/>
    <w:rsid w:val="4659254A"/>
    <w:rsid w:val="465B0637"/>
    <w:rsid w:val="465E3F0D"/>
    <w:rsid w:val="466A16E6"/>
    <w:rsid w:val="46841154"/>
    <w:rsid w:val="46893F2B"/>
    <w:rsid w:val="468B1F7E"/>
    <w:rsid w:val="46992A4E"/>
    <w:rsid w:val="46A613B3"/>
    <w:rsid w:val="46B60112"/>
    <w:rsid w:val="46C4686E"/>
    <w:rsid w:val="46E717E1"/>
    <w:rsid w:val="4702556E"/>
    <w:rsid w:val="4707379E"/>
    <w:rsid w:val="472745EF"/>
    <w:rsid w:val="472F66E6"/>
    <w:rsid w:val="474C2DD7"/>
    <w:rsid w:val="475E7316"/>
    <w:rsid w:val="47743271"/>
    <w:rsid w:val="477B778F"/>
    <w:rsid w:val="478203EC"/>
    <w:rsid w:val="47B025FA"/>
    <w:rsid w:val="47B75973"/>
    <w:rsid w:val="47B78B64"/>
    <w:rsid w:val="47DE73B4"/>
    <w:rsid w:val="47EB0D8B"/>
    <w:rsid w:val="47F40EAD"/>
    <w:rsid w:val="47FF3688"/>
    <w:rsid w:val="4809698F"/>
    <w:rsid w:val="4811697D"/>
    <w:rsid w:val="48142CFF"/>
    <w:rsid w:val="482801EF"/>
    <w:rsid w:val="48572DA9"/>
    <w:rsid w:val="485753FE"/>
    <w:rsid w:val="48594D17"/>
    <w:rsid w:val="4866789E"/>
    <w:rsid w:val="48790E7B"/>
    <w:rsid w:val="487A3E25"/>
    <w:rsid w:val="488B5503"/>
    <w:rsid w:val="48937E21"/>
    <w:rsid w:val="489A0361"/>
    <w:rsid w:val="48B94FF3"/>
    <w:rsid w:val="48CE2CB1"/>
    <w:rsid w:val="48CE6518"/>
    <w:rsid w:val="48E37AAB"/>
    <w:rsid w:val="48E93B7F"/>
    <w:rsid w:val="48F50EEE"/>
    <w:rsid w:val="48FA4D72"/>
    <w:rsid w:val="48FD4B4C"/>
    <w:rsid w:val="490A68E0"/>
    <w:rsid w:val="491055FE"/>
    <w:rsid w:val="491C7AC0"/>
    <w:rsid w:val="49594145"/>
    <w:rsid w:val="495F5B3E"/>
    <w:rsid w:val="49624ED0"/>
    <w:rsid w:val="496F77D7"/>
    <w:rsid w:val="497654FD"/>
    <w:rsid w:val="497B4698"/>
    <w:rsid w:val="498B70B7"/>
    <w:rsid w:val="49900624"/>
    <w:rsid w:val="499A3C9B"/>
    <w:rsid w:val="49A0611E"/>
    <w:rsid w:val="49A62FC2"/>
    <w:rsid w:val="49B64211"/>
    <w:rsid w:val="49C01EDD"/>
    <w:rsid w:val="49E86BFF"/>
    <w:rsid w:val="49F6167F"/>
    <w:rsid w:val="4A001853"/>
    <w:rsid w:val="4A064FA0"/>
    <w:rsid w:val="4A161077"/>
    <w:rsid w:val="4A16615C"/>
    <w:rsid w:val="4A1D1CE5"/>
    <w:rsid w:val="4A2117CA"/>
    <w:rsid w:val="4A2C2648"/>
    <w:rsid w:val="4A324559"/>
    <w:rsid w:val="4A3868ED"/>
    <w:rsid w:val="4A4424D7"/>
    <w:rsid w:val="4A4F21CB"/>
    <w:rsid w:val="4A6718D3"/>
    <w:rsid w:val="4A8E3303"/>
    <w:rsid w:val="4A9D3546"/>
    <w:rsid w:val="4AB43C99"/>
    <w:rsid w:val="4AB82D0F"/>
    <w:rsid w:val="4AC62DD1"/>
    <w:rsid w:val="4AD22A51"/>
    <w:rsid w:val="4ADC1B12"/>
    <w:rsid w:val="4AEB7664"/>
    <w:rsid w:val="4AF54FAE"/>
    <w:rsid w:val="4AF722AC"/>
    <w:rsid w:val="4AFD7C19"/>
    <w:rsid w:val="4B026B09"/>
    <w:rsid w:val="4B054C48"/>
    <w:rsid w:val="4B0567D1"/>
    <w:rsid w:val="4B1708E3"/>
    <w:rsid w:val="4B236AAE"/>
    <w:rsid w:val="4B4113C6"/>
    <w:rsid w:val="4B604BF6"/>
    <w:rsid w:val="4B6063E9"/>
    <w:rsid w:val="4B6752DF"/>
    <w:rsid w:val="4B6E1756"/>
    <w:rsid w:val="4B707271"/>
    <w:rsid w:val="4B756271"/>
    <w:rsid w:val="4B7666AB"/>
    <w:rsid w:val="4B9040A2"/>
    <w:rsid w:val="4B9412FA"/>
    <w:rsid w:val="4B9739F7"/>
    <w:rsid w:val="4BDF36EB"/>
    <w:rsid w:val="4BE87CA9"/>
    <w:rsid w:val="4BEE2503"/>
    <w:rsid w:val="4C0D0258"/>
    <w:rsid w:val="4C1515CB"/>
    <w:rsid w:val="4C245A30"/>
    <w:rsid w:val="4C2A5805"/>
    <w:rsid w:val="4C5916EF"/>
    <w:rsid w:val="4C85187E"/>
    <w:rsid w:val="4C963B8C"/>
    <w:rsid w:val="4CA3296A"/>
    <w:rsid w:val="4CAC4A94"/>
    <w:rsid w:val="4CB44B77"/>
    <w:rsid w:val="4CB6685F"/>
    <w:rsid w:val="4CB70475"/>
    <w:rsid w:val="4CC367FE"/>
    <w:rsid w:val="4CD174D7"/>
    <w:rsid w:val="4CE91757"/>
    <w:rsid w:val="4CF3744D"/>
    <w:rsid w:val="4D037EAA"/>
    <w:rsid w:val="4D077F3C"/>
    <w:rsid w:val="4D123355"/>
    <w:rsid w:val="4D155616"/>
    <w:rsid w:val="4D2A3B31"/>
    <w:rsid w:val="4D312C52"/>
    <w:rsid w:val="4D487292"/>
    <w:rsid w:val="4D754306"/>
    <w:rsid w:val="4D7F4A33"/>
    <w:rsid w:val="4D905305"/>
    <w:rsid w:val="4D9522B1"/>
    <w:rsid w:val="4D964A72"/>
    <w:rsid w:val="4D9C1254"/>
    <w:rsid w:val="4D9C7AE5"/>
    <w:rsid w:val="4DA23D41"/>
    <w:rsid w:val="4DCB00EF"/>
    <w:rsid w:val="4DCB168F"/>
    <w:rsid w:val="4DF06083"/>
    <w:rsid w:val="4E0920CE"/>
    <w:rsid w:val="4E330707"/>
    <w:rsid w:val="4E4948FB"/>
    <w:rsid w:val="4E662A22"/>
    <w:rsid w:val="4E793892"/>
    <w:rsid w:val="4E800872"/>
    <w:rsid w:val="4EA049DA"/>
    <w:rsid w:val="4EB856B6"/>
    <w:rsid w:val="4EC569ED"/>
    <w:rsid w:val="4ECE79E6"/>
    <w:rsid w:val="4ED17C62"/>
    <w:rsid w:val="4ED50EA1"/>
    <w:rsid w:val="4EDD6486"/>
    <w:rsid w:val="4EEC050C"/>
    <w:rsid w:val="4F0040A4"/>
    <w:rsid w:val="4F0716E2"/>
    <w:rsid w:val="4F104EC3"/>
    <w:rsid w:val="4F1162B1"/>
    <w:rsid w:val="4F47354A"/>
    <w:rsid w:val="4F524F63"/>
    <w:rsid w:val="4F911C54"/>
    <w:rsid w:val="4FA578EA"/>
    <w:rsid w:val="4FBE372C"/>
    <w:rsid w:val="4FE625E0"/>
    <w:rsid w:val="4FE710E2"/>
    <w:rsid w:val="4FF044FE"/>
    <w:rsid w:val="4FF5731C"/>
    <w:rsid w:val="5006393C"/>
    <w:rsid w:val="500E2419"/>
    <w:rsid w:val="5021480F"/>
    <w:rsid w:val="502F2E92"/>
    <w:rsid w:val="5034551E"/>
    <w:rsid w:val="506B379F"/>
    <w:rsid w:val="50962ECB"/>
    <w:rsid w:val="50A42E38"/>
    <w:rsid w:val="50A4577F"/>
    <w:rsid w:val="50B73D1F"/>
    <w:rsid w:val="50BD5BC9"/>
    <w:rsid w:val="50C11EEE"/>
    <w:rsid w:val="50CD4459"/>
    <w:rsid w:val="50E97CFC"/>
    <w:rsid w:val="50EA2935"/>
    <w:rsid w:val="50ED278D"/>
    <w:rsid w:val="50F13E09"/>
    <w:rsid w:val="50F63F3E"/>
    <w:rsid w:val="50FA4028"/>
    <w:rsid w:val="510D65B7"/>
    <w:rsid w:val="511157AB"/>
    <w:rsid w:val="511701B4"/>
    <w:rsid w:val="512D4CB2"/>
    <w:rsid w:val="513D05E5"/>
    <w:rsid w:val="5142540C"/>
    <w:rsid w:val="516C24A5"/>
    <w:rsid w:val="516F0998"/>
    <w:rsid w:val="51712933"/>
    <w:rsid w:val="5186663A"/>
    <w:rsid w:val="518832C8"/>
    <w:rsid w:val="518E5997"/>
    <w:rsid w:val="51A0432A"/>
    <w:rsid w:val="51A86090"/>
    <w:rsid w:val="51AB52BE"/>
    <w:rsid w:val="51B7396D"/>
    <w:rsid w:val="51BC0756"/>
    <w:rsid w:val="51CA06C8"/>
    <w:rsid w:val="51D50056"/>
    <w:rsid w:val="520B5239"/>
    <w:rsid w:val="521D4B56"/>
    <w:rsid w:val="522679F4"/>
    <w:rsid w:val="522E4CC3"/>
    <w:rsid w:val="5244713B"/>
    <w:rsid w:val="52615633"/>
    <w:rsid w:val="52635035"/>
    <w:rsid w:val="52883995"/>
    <w:rsid w:val="52977FD4"/>
    <w:rsid w:val="52A25790"/>
    <w:rsid w:val="52A96B6F"/>
    <w:rsid w:val="52B45975"/>
    <w:rsid w:val="52C13B4A"/>
    <w:rsid w:val="52C635C9"/>
    <w:rsid w:val="52D94AA4"/>
    <w:rsid w:val="52EA3A62"/>
    <w:rsid w:val="52F50BB8"/>
    <w:rsid w:val="52F81F19"/>
    <w:rsid w:val="53050450"/>
    <w:rsid w:val="53097272"/>
    <w:rsid w:val="530B10AE"/>
    <w:rsid w:val="53165C44"/>
    <w:rsid w:val="531C37C2"/>
    <w:rsid w:val="5340253A"/>
    <w:rsid w:val="53544462"/>
    <w:rsid w:val="53910A34"/>
    <w:rsid w:val="5397158E"/>
    <w:rsid w:val="53A05E55"/>
    <w:rsid w:val="53C51418"/>
    <w:rsid w:val="53D53D51"/>
    <w:rsid w:val="53EE6BC1"/>
    <w:rsid w:val="53F24433"/>
    <w:rsid w:val="54013861"/>
    <w:rsid w:val="54041F40"/>
    <w:rsid w:val="54045A0B"/>
    <w:rsid w:val="54090CDF"/>
    <w:rsid w:val="54487265"/>
    <w:rsid w:val="544C40C6"/>
    <w:rsid w:val="544D6070"/>
    <w:rsid w:val="54554C6F"/>
    <w:rsid w:val="54605E1E"/>
    <w:rsid w:val="5477496A"/>
    <w:rsid w:val="5478181E"/>
    <w:rsid w:val="54A86158"/>
    <w:rsid w:val="54B3506A"/>
    <w:rsid w:val="54BC4BB8"/>
    <w:rsid w:val="54CA0D16"/>
    <w:rsid w:val="54DA4D68"/>
    <w:rsid w:val="54DD4057"/>
    <w:rsid w:val="54E7490F"/>
    <w:rsid w:val="54EF4A06"/>
    <w:rsid w:val="550764A4"/>
    <w:rsid w:val="550B2BF6"/>
    <w:rsid w:val="55214EB5"/>
    <w:rsid w:val="552C5BF2"/>
    <w:rsid w:val="55320D2F"/>
    <w:rsid w:val="55364EFD"/>
    <w:rsid w:val="553C395C"/>
    <w:rsid w:val="555D4828"/>
    <w:rsid w:val="55767585"/>
    <w:rsid w:val="55796E0E"/>
    <w:rsid w:val="557A4C8B"/>
    <w:rsid w:val="558931E1"/>
    <w:rsid w:val="55923347"/>
    <w:rsid w:val="55925180"/>
    <w:rsid w:val="55983B1B"/>
    <w:rsid w:val="55985EE0"/>
    <w:rsid w:val="55A8376B"/>
    <w:rsid w:val="55AA4D69"/>
    <w:rsid w:val="55CE761E"/>
    <w:rsid w:val="55DC29B6"/>
    <w:rsid w:val="55DD4241"/>
    <w:rsid w:val="55F87C24"/>
    <w:rsid w:val="55FE551B"/>
    <w:rsid w:val="56086FB9"/>
    <w:rsid w:val="560934D2"/>
    <w:rsid w:val="560A6C3D"/>
    <w:rsid w:val="560E4288"/>
    <w:rsid w:val="56296367"/>
    <w:rsid w:val="56454FEA"/>
    <w:rsid w:val="565A74E2"/>
    <w:rsid w:val="565D4D50"/>
    <w:rsid w:val="566103D9"/>
    <w:rsid w:val="56695AE7"/>
    <w:rsid w:val="566B6D1E"/>
    <w:rsid w:val="56707467"/>
    <w:rsid w:val="567E1286"/>
    <w:rsid w:val="56821842"/>
    <w:rsid w:val="568A42C6"/>
    <w:rsid w:val="568B487C"/>
    <w:rsid w:val="568E407F"/>
    <w:rsid w:val="56933A4F"/>
    <w:rsid w:val="569E48CE"/>
    <w:rsid w:val="56A10CCD"/>
    <w:rsid w:val="56C63E25"/>
    <w:rsid w:val="56CB31E9"/>
    <w:rsid w:val="56DA2EDE"/>
    <w:rsid w:val="56F75D8C"/>
    <w:rsid w:val="570069C4"/>
    <w:rsid w:val="57007679"/>
    <w:rsid w:val="57026A81"/>
    <w:rsid w:val="57032A2C"/>
    <w:rsid w:val="570F5219"/>
    <w:rsid w:val="57122F34"/>
    <w:rsid w:val="57360A01"/>
    <w:rsid w:val="573624E8"/>
    <w:rsid w:val="575D12B5"/>
    <w:rsid w:val="57610A87"/>
    <w:rsid w:val="576C0528"/>
    <w:rsid w:val="577B1140"/>
    <w:rsid w:val="577B7F21"/>
    <w:rsid w:val="577F181B"/>
    <w:rsid w:val="57921984"/>
    <w:rsid w:val="57942356"/>
    <w:rsid w:val="579737F0"/>
    <w:rsid w:val="57AB7B30"/>
    <w:rsid w:val="57AC396B"/>
    <w:rsid w:val="57AF5251"/>
    <w:rsid w:val="57B26373"/>
    <w:rsid w:val="57B63F04"/>
    <w:rsid w:val="57C31292"/>
    <w:rsid w:val="57CD20C2"/>
    <w:rsid w:val="57D675AB"/>
    <w:rsid w:val="57D95FDD"/>
    <w:rsid w:val="58016D68"/>
    <w:rsid w:val="580B6FC1"/>
    <w:rsid w:val="580D4B64"/>
    <w:rsid w:val="58123023"/>
    <w:rsid w:val="584E2D25"/>
    <w:rsid w:val="585A2DA9"/>
    <w:rsid w:val="58690F0C"/>
    <w:rsid w:val="587C6C83"/>
    <w:rsid w:val="588673C8"/>
    <w:rsid w:val="58917D2F"/>
    <w:rsid w:val="5894085C"/>
    <w:rsid w:val="5896491E"/>
    <w:rsid w:val="58AE4F0C"/>
    <w:rsid w:val="58B85899"/>
    <w:rsid w:val="58E24461"/>
    <w:rsid w:val="58E363A9"/>
    <w:rsid w:val="58F85DEC"/>
    <w:rsid w:val="590E2EE3"/>
    <w:rsid w:val="594554D5"/>
    <w:rsid w:val="594E43C6"/>
    <w:rsid w:val="595705DB"/>
    <w:rsid w:val="595E1678"/>
    <w:rsid w:val="5960230F"/>
    <w:rsid w:val="5968092A"/>
    <w:rsid w:val="596D5BD4"/>
    <w:rsid w:val="597E3DD8"/>
    <w:rsid w:val="597F2F65"/>
    <w:rsid w:val="59883613"/>
    <w:rsid w:val="59B9487E"/>
    <w:rsid w:val="59BC41A8"/>
    <w:rsid w:val="59C0534F"/>
    <w:rsid w:val="59C778E7"/>
    <w:rsid w:val="59CB2A94"/>
    <w:rsid w:val="59D206A6"/>
    <w:rsid w:val="59D35561"/>
    <w:rsid w:val="59F80043"/>
    <w:rsid w:val="5A09252F"/>
    <w:rsid w:val="5A0B2778"/>
    <w:rsid w:val="5A122CB7"/>
    <w:rsid w:val="5A131FEC"/>
    <w:rsid w:val="5A292D7F"/>
    <w:rsid w:val="5A2A7C7B"/>
    <w:rsid w:val="5A3A2B60"/>
    <w:rsid w:val="5A3A50A4"/>
    <w:rsid w:val="5A3E2560"/>
    <w:rsid w:val="5A5D3B6E"/>
    <w:rsid w:val="5A637A76"/>
    <w:rsid w:val="5A690D4F"/>
    <w:rsid w:val="5A6D33BA"/>
    <w:rsid w:val="5A792B1F"/>
    <w:rsid w:val="5A7B4C04"/>
    <w:rsid w:val="5A8042EB"/>
    <w:rsid w:val="5A874767"/>
    <w:rsid w:val="5A985AD8"/>
    <w:rsid w:val="5AAD6F28"/>
    <w:rsid w:val="5AAF3BBC"/>
    <w:rsid w:val="5AB07FD9"/>
    <w:rsid w:val="5AC35F42"/>
    <w:rsid w:val="5AD3266C"/>
    <w:rsid w:val="5AD63A24"/>
    <w:rsid w:val="5AEC4240"/>
    <w:rsid w:val="5B0B08CB"/>
    <w:rsid w:val="5B0B637C"/>
    <w:rsid w:val="5B113672"/>
    <w:rsid w:val="5B1C2265"/>
    <w:rsid w:val="5B2B798A"/>
    <w:rsid w:val="5B2E1A1D"/>
    <w:rsid w:val="5B3C0F26"/>
    <w:rsid w:val="5B3C2E37"/>
    <w:rsid w:val="5B6156E4"/>
    <w:rsid w:val="5B7377AF"/>
    <w:rsid w:val="5B843A1C"/>
    <w:rsid w:val="5B873E3F"/>
    <w:rsid w:val="5BA67D81"/>
    <w:rsid w:val="5BDB2EAF"/>
    <w:rsid w:val="5BED775E"/>
    <w:rsid w:val="5BEE7325"/>
    <w:rsid w:val="5BF52AD4"/>
    <w:rsid w:val="5BFF4FAA"/>
    <w:rsid w:val="5C02690E"/>
    <w:rsid w:val="5C070EB6"/>
    <w:rsid w:val="5C0F0446"/>
    <w:rsid w:val="5C14118E"/>
    <w:rsid w:val="5C167099"/>
    <w:rsid w:val="5C196DA7"/>
    <w:rsid w:val="5C2A048C"/>
    <w:rsid w:val="5C4C5564"/>
    <w:rsid w:val="5C7176CB"/>
    <w:rsid w:val="5C726CB3"/>
    <w:rsid w:val="5C80234E"/>
    <w:rsid w:val="5C8A680C"/>
    <w:rsid w:val="5C8B3188"/>
    <w:rsid w:val="5C9E3955"/>
    <w:rsid w:val="5CAC724A"/>
    <w:rsid w:val="5CAE6ACE"/>
    <w:rsid w:val="5CAE75C8"/>
    <w:rsid w:val="5CCD1C5E"/>
    <w:rsid w:val="5CFA22F8"/>
    <w:rsid w:val="5D0C4701"/>
    <w:rsid w:val="5D0F0395"/>
    <w:rsid w:val="5D1551BE"/>
    <w:rsid w:val="5D221076"/>
    <w:rsid w:val="5D397964"/>
    <w:rsid w:val="5D3F1174"/>
    <w:rsid w:val="5D5A391C"/>
    <w:rsid w:val="5D5F10C0"/>
    <w:rsid w:val="5D5F6439"/>
    <w:rsid w:val="5D891B7B"/>
    <w:rsid w:val="5DA60634"/>
    <w:rsid w:val="5DAD38EE"/>
    <w:rsid w:val="5DB04EE7"/>
    <w:rsid w:val="5DB70D27"/>
    <w:rsid w:val="5DBC0D2E"/>
    <w:rsid w:val="5DC15346"/>
    <w:rsid w:val="5DC95797"/>
    <w:rsid w:val="5DE828D3"/>
    <w:rsid w:val="5DF734B0"/>
    <w:rsid w:val="5E006862"/>
    <w:rsid w:val="5E0207B9"/>
    <w:rsid w:val="5E1834A1"/>
    <w:rsid w:val="5E196F30"/>
    <w:rsid w:val="5E23390B"/>
    <w:rsid w:val="5E261785"/>
    <w:rsid w:val="5E4512ED"/>
    <w:rsid w:val="5E46792A"/>
    <w:rsid w:val="5E4A7017"/>
    <w:rsid w:val="5E552BBA"/>
    <w:rsid w:val="5E611C10"/>
    <w:rsid w:val="5E6A778C"/>
    <w:rsid w:val="5E803E8C"/>
    <w:rsid w:val="5E973C9F"/>
    <w:rsid w:val="5EB40CED"/>
    <w:rsid w:val="5EB558FD"/>
    <w:rsid w:val="5EB57238"/>
    <w:rsid w:val="5ECC478D"/>
    <w:rsid w:val="5ED13367"/>
    <w:rsid w:val="5EF17DB1"/>
    <w:rsid w:val="5EFC7377"/>
    <w:rsid w:val="5F06174D"/>
    <w:rsid w:val="5F0E4271"/>
    <w:rsid w:val="5F122FE2"/>
    <w:rsid w:val="5F2B08A7"/>
    <w:rsid w:val="5F3A0AD5"/>
    <w:rsid w:val="5F3A3602"/>
    <w:rsid w:val="5F3E144F"/>
    <w:rsid w:val="5F5875E4"/>
    <w:rsid w:val="5F6277C6"/>
    <w:rsid w:val="5F6661A5"/>
    <w:rsid w:val="5F6D0B1D"/>
    <w:rsid w:val="5F6D3B9D"/>
    <w:rsid w:val="5F780DFC"/>
    <w:rsid w:val="5F8B5C0B"/>
    <w:rsid w:val="5F8D0B82"/>
    <w:rsid w:val="5F9E27A8"/>
    <w:rsid w:val="5FCC5339"/>
    <w:rsid w:val="5FD7077C"/>
    <w:rsid w:val="5FE34A5B"/>
    <w:rsid w:val="5FF851B0"/>
    <w:rsid w:val="5FFE1E36"/>
    <w:rsid w:val="601F6EE8"/>
    <w:rsid w:val="60232584"/>
    <w:rsid w:val="6051650D"/>
    <w:rsid w:val="607330CE"/>
    <w:rsid w:val="60825176"/>
    <w:rsid w:val="609F2AC4"/>
    <w:rsid w:val="60AA021B"/>
    <w:rsid w:val="60B061EB"/>
    <w:rsid w:val="60B8021A"/>
    <w:rsid w:val="60E908CC"/>
    <w:rsid w:val="60F97DDF"/>
    <w:rsid w:val="60FA2EE8"/>
    <w:rsid w:val="61031871"/>
    <w:rsid w:val="61054A27"/>
    <w:rsid w:val="610A52BC"/>
    <w:rsid w:val="61102149"/>
    <w:rsid w:val="611618F4"/>
    <w:rsid w:val="6117523F"/>
    <w:rsid w:val="611D2366"/>
    <w:rsid w:val="61421856"/>
    <w:rsid w:val="614A4BFD"/>
    <w:rsid w:val="615227C4"/>
    <w:rsid w:val="615C5723"/>
    <w:rsid w:val="61654E3F"/>
    <w:rsid w:val="616A2BB5"/>
    <w:rsid w:val="61705DE8"/>
    <w:rsid w:val="617A051C"/>
    <w:rsid w:val="6182292A"/>
    <w:rsid w:val="618B2E31"/>
    <w:rsid w:val="619F7F92"/>
    <w:rsid w:val="61B56F70"/>
    <w:rsid w:val="61E41603"/>
    <w:rsid w:val="61F94C26"/>
    <w:rsid w:val="62000E56"/>
    <w:rsid w:val="620906C3"/>
    <w:rsid w:val="622F72F8"/>
    <w:rsid w:val="624F3E49"/>
    <w:rsid w:val="62632286"/>
    <w:rsid w:val="626E41B9"/>
    <w:rsid w:val="627462FF"/>
    <w:rsid w:val="627D1D1F"/>
    <w:rsid w:val="62885958"/>
    <w:rsid w:val="629848C7"/>
    <w:rsid w:val="62AD1323"/>
    <w:rsid w:val="62AD7C47"/>
    <w:rsid w:val="62DF7DB4"/>
    <w:rsid w:val="62F40B65"/>
    <w:rsid w:val="62FC2CFE"/>
    <w:rsid w:val="630108C9"/>
    <w:rsid w:val="63024505"/>
    <w:rsid w:val="6305567A"/>
    <w:rsid w:val="63181501"/>
    <w:rsid w:val="631E5E6D"/>
    <w:rsid w:val="633809DF"/>
    <w:rsid w:val="633D4335"/>
    <w:rsid w:val="634E57A7"/>
    <w:rsid w:val="635B1DB5"/>
    <w:rsid w:val="63711FED"/>
    <w:rsid w:val="63880DDC"/>
    <w:rsid w:val="63895781"/>
    <w:rsid w:val="638D750D"/>
    <w:rsid w:val="63AC6CC0"/>
    <w:rsid w:val="63BC11BC"/>
    <w:rsid w:val="63D4363A"/>
    <w:rsid w:val="640344D8"/>
    <w:rsid w:val="64055776"/>
    <w:rsid w:val="640624AF"/>
    <w:rsid w:val="642108EC"/>
    <w:rsid w:val="64240056"/>
    <w:rsid w:val="6424289C"/>
    <w:rsid w:val="642F5D65"/>
    <w:rsid w:val="643E143A"/>
    <w:rsid w:val="64420DBD"/>
    <w:rsid w:val="64465488"/>
    <w:rsid w:val="644E4FAE"/>
    <w:rsid w:val="6459763E"/>
    <w:rsid w:val="64664551"/>
    <w:rsid w:val="646E659C"/>
    <w:rsid w:val="64872E45"/>
    <w:rsid w:val="648B6EEF"/>
    <w:rsid w:val="64A318FC"/>
    <w:rsid w:val="64AB1D46"/>
    <w:rsid w:val="64AC497B"/>
    <w:rsid w:val="64C158BF"/>
    <w:rsid w:val="64C179D9"/>
    <w:rsid w:val="64CE2EAA"/>
    <w:rsid w:val="64E81EBA"/>
    <w:rsid w:val="64E9765C"/>
    <w:rsid w:val="64F66BC1"/>
    <w:rsid w:val="65130235"/>
    <w:rsid w:val="65163A99"/>
    <w:rsid w:val="65270184"/>
    <w:rsid w:val="653C3090"/>
    <w:rsid w:val="65411FA8"/>
    <w:rsid w:val="656B3055"/>
    <w:rsid w:val="656E2F6B"/>
    <w:rsid w:val="65733ED9"/>
    <w:rsid w:val="65854376"/>
    <w:rsid w:val="658767BE"/>
    <w:rsid w:val="65892531"/>
    <w:rsid w:val="65953340"/>
    <w:rsid w:val="65A672FB"/>
    <w:rsid w:val="65BA7FB3"/>
    <w:rsid w:val="65BF2F4C"/>
    <w:rsid w:val="65F154AE"/>
    <w:rsid w:val="66172FBE"/>
    <w:rsid w:val="661804E4"/>
    <w:rsid w:val="66195831"/>
    <w:rsid w:val="662E75B1"/>
    <w:rsid w:val="66342C2E"/>
    <w:rsid w:val="663754B0"/>
    <w:rsid w:val="663E784C"/>
    <w:rsid w:val="66741DC6"/>
    <w:rsid w:val="668B6A45"/>
    <w:rsid w:val="66B37FD1"/>
    <w:rsid w:val="66B87280"/>
    <w:rsid w:val="66CF3BC1"/>
    <w:rsid w:val="66D460EA"/>
    <w:rsid w:val="66D93862"/>
    <w:rsid w:val="66DD5434"/>
    <w:rsid w:val="66E225B5"/>
    <w:rsid w:val="66ED0F5A"/>
    <w:rsid w:val="66F56294"/>
    <w:rsid w:val="672524A2"/>
    <w:rsid w:val="672F3F24"/>
    <w:rsid w:val="673E055F"/>
    <w:rsid w:val="6748516D"/>
    <w:rsid w:val="67551CE3"/>
    <w:rsid w:val="67582877"/>
    <w:rsid w:val="676E5BF7"/>
    <w:rsid w:val="67704459"/>
    <w:rsid w:val="678B4F37"/>
    <w:rsid w:val="679E732F"/>
    <w:rsid w:val="67A22552"/>
    <w:rsid w:val="67B22DCC"/>
    <w:rsid w:val="67BE71AA"/>
    <w:rsid w:val="67C70737"/>
    <w:rsid w:val="67D65CDD"/>
    <w:rsid w:val="67D90273"/>
    <w:rsid w:val="67DE5875"/>
    <w:rsid w:val="67E55852"/>
    <w:rsid w:val="67EB1AB4"/>
    <w:rsid w:val="67F969A0"/>
    <w:rsid w:val="67FA1285"/>
    <w:rsid w:val="67FA5339"/>
    <w:rsid w:val="68036556"/>
    <w:rsid w:val="680F301B"/>
    <w:rsid w:val="68103152"/>
    <w:rsid w:val="681313F6"/>
    <w:rsid w:val="68192CC6"/>
    <w:rsid w:val="68551F4F"/>
    <w:rsid w:val="686E74F3"/>
    <w:rsid w:val="687C10C9"/>
    <w:rsid w:val="68840C16"/>
    <w:rsid w:val="68876EFB"/>
    <w:rsid w:val="68884654"/>
    <w:rsid w:val="689F444F"/>
    <w:rsid w:val="68B96DBB"/>
    <w:rsid w:val="68B97345"/>
    <w:rsid w:val="68CA2805"/>
    <w:rsid w:val="68D93544"/>
    <w:rsid w:val="68E150D9"/>
    <w:rsid w:val="68E32613"/>
    <w:rsid w:val="68E937A3"/>
    <w:rsid w:val="68F12BA5"/>
    <w:rsid w:val="68F4171A"/>
    <w:rsid w:val="68F62767"/>
    <w:rsid w:val="690D5A5A"/>
    <w:rsid w:val="69280027"/>
    <w:rsid w:val="693E15D3"/>
    <w:rsid w:val="694A3D5B"/>
    <w:rsid w:val="69531548"/>
    <w:rsid w:val="695472C9"/>
    <w:rsid w:val="69627681"/>
    <w:rsid w:val="6977531D"/>
    <w:rsid w:val="69783018"/>
    <w:rsid w:val="69820FB9"/>
    <w:rsid w:val="69982EE8"/>
    <w:rsid w:val="69C8165E"/>
    <w:rsid w:val="69CC2BFF"/>
    <w:rsid w:val="69D01A3D"/>
    <w:rsid w:val="69FD55B8"/>
    <w:rsid w:val="6A097E59"/>
    <w:rsid w:val="6A0A50B2"/>
    <w:rsid w:val="6A0B1C62"/>
    <w:rsid w:val="6A130CD7"/>
    <w:rsid w:val="6A16109D"/>
    <w:rsid w:val="6A1879F7"/>
    <w:rsid w:val="6A2406C8"/>
    <w:rsid w:val="6A302D82"/>
    <w:rsid w:val="6A325883"/>
    <w:rsid w:val="6A38073E"/>
    <w:rsid w:val="6A3A44B6"/>
    <w:rsid w:val="6A3C1223"/>
    <w:rsid w:val="6A473630"/>
    <w:rsid w:val="6A4E3897"/>
    <w:rsid w:val="6AB96459"/>
    <w:rsid w:val="6ABC642B"/>
    <w:rsid w:val="6ACD0B79"/>
    <w:rsid w:val="6ADE0BD1"/>
    <w:rsid w:val="6AE96859"/>
    <w:rsid w:val="6B147746"/>
    <w:rsid w:val="6B1F5FA9"/>
    <w:rsid w:val="6B24787C"/>
    <w:rsid w:val="6B301415"/>
    <w:rsid w:val="6B304C33"/>
    <w:rsid w:val="6B453112"/>
    <w:rsid w:val="6B573233"/>
    <w:rsid w:val="6B58732F"/>
    <w:rsid w:val="6B596274"/>
    <w:rsid w:val="6B5B6274"/>
    <w:rsid w:val="6B5D2450"/>
    <w:rsid w:val="6B6D2FB9"/>
    <w:rsid w:val="6B76656C"/>
    <w:rsid w:val="6B935D53"/>
    <w:rsid w:val="6B950B23"/>
    <w:rsid w:val="6B9866CD"/>
    <w:rsid w:val="6BBC6500"/>
    <w:rsid w:val="6BBF3CEB"/>
    <w:rsid w:val="6BC61258"/>
    <w:rsid w:val="6BF95CAB"/>
    <w:rsid w:val="6C0C07C3"/>
    <w:rsid w:val="6C196F71"/>
    <w:rsid w:val="6C1B3E73"/>
    <w:rsid w:val="6C226FCB"/>
    <w:rsid w:val="6C31226F"/>
    <w:rsid w:val="6C552F0B"/>
    <w:rsid w:val="6C8A3532"/>
    <w:rsid w:val="6C8C67B7"/>
    <w:rsid w:val="6C9D744C"/>
    <w:rsid w:val="6CBC7404"/>
    <w:rsid w:val="6CBE31B6"/>
    <w:rsid w:val="6CFC53C1"/>
    <w:rsid w:val="6D03206B"/>
    <w:rsid w:val="6D11347B"/>
    <w:rsid w:val="6D167928"/>
    <w:rsid w:val="6D1E27A6"/>
    <w:rsid w:val="6D26299B"/>
    <w:rsid w:val="6D4772EC"/>
    <w:rsid w:val="6D4B0788"/>
    <w:rsid w:val="6D591F42"/>
    <w:rsid w:val="6D5C2995"/>
    <w:rsid w:val="6D9078AF"/>
    <w:rsid w:val="6D9258E0"/>
    <w:rsid w:val="6DAA3FEF"/>
    <w:rsid w:val="6DC0172B"/>
    <w:rsid w:val="6DCB690C"/>
    <w:rsid w:val="6DD41A5B"/>
    <w:rsid w:val="6DF167FE"/>
    <w:rsid w:val="6DF43C2E"/>
    <w:rsid w:val="6DF51CA3"/>
    <w:rsid w:val="6E020E0C"/>
    <w:rsid w:val="6E0F60BD"/>
    <w:rsid w:val="6E430BB4"/>
    <w:rsid w:val="6E8335BD"/>
    <w:rsid w:val="6E8A7499"/>
    <w:rsid w:val="6E8D6623"/>
    <w:rsid w:val="6E8E12EF"/>
    <w:rsid w:val="6E972936"/>
    <w:rsid w:val="6EA57398"/>
    <w:rsid w:val="6EAC63CA"/>
    <w:rsid w:val="6EB64310"/>
    <w:rsid w:val="6ED446C5"/>
    <w:rsid w:val="6EE70AF4"/>
    <w:rsid w:val="6F2A7D94"/>
    <w:rsid w:val="6F46450C"/>
    <w:rsid w:val="6F476E29"/>
    <w:rsid w:val="6F4F630E"/>
    <w:rsid w:val="6F560FFF"/>
    <w:rsid w:val="6F712834"/>
    <w:rsid w:val="6F8331F1"/>
    <w:rsid w:val="6F9D349E"/>
    <w:rsid w:val="6F9E1166"/>
    <w:rsid w:val="6FAE1A09"/>
    <w:rsid w:val="6FB16FC8"/>
    <w:rsid w:val="6FD75BF8"/>
    <w:rsid w:val="70136A8B"/>
    <w:rsid w:val="701B139D"/>
    <w:rsid w:val="702604C1"/>
    <w:rsid w:val="704C6CF1"/>
    <w:rsid w:val="70614017"/>
    <w:rsid w:val="706E648B"/>
    <w:rsid w:val="707723D0"/>
    <w:rsid w:val="707A0CEA"/>
    <w:rsid w:val="70BE609E"/>
    <w:rsid w:val="70C745CA"/>
    <w:rsid w:val="70CA35FF"/>
    <w:rsid w:val="70DA795D"/>
    <w:rsid w:val="70F27898"/>
    <w:rsid w:val="70F5661B"/>
    <w:rsid w:val="710A128A"/>
    <w:rsid w:val="710F6395"/>
    <w:rsid w:val="712B333F"/>
    <w:rsid w:val="713343ED"/>
    <w:rsid w:val="71360107"/>
    <w:rsid w:val="71381023"/>
    <w:rsid w:val="713B688E"/>
    <w:rsid w:val="71505E4E"/>
    <w:rsid w:val="71A4709A"/>
    <w:rsid w:val="71D43752"/>
    <w:rsid w:val="71E533DB"/>
    <w:rsid w:val="71F1796A"/>
    <w:rsid w:val="71F96491"/>
    <w:rsid w:val="72044D79"/>
    <w:rsid w:val="720D29DE"/>
    <w:rsid w:val="72154626"/>
    <w:rsid w:val="72262B5D"/>
    <w:rsid w:val="72283FF7"/>
    <w:rsid w:val="722E7212"/>
    <w:rsid w:val="723363A1"/>
    <w:rsid w:val="72352F3B"/>
    <w:rsid w:val="723A0474"/>
    <w:rsid w:val="724524A3"/>
    <w:rsid w:val="725923E4"/>
    <w:rsid w:val="72621C35"/>
    <w:rsid w:val="727879B6"/>
    <w:rsid w:val="727B566C"/>
    <w:rsid w:val="727F33AE"/>
    <w:rsid w:val="72864BF7"/>
    <w:rsid w:val="728811CD"/>
    <w:rsid w:val="72897D89"/>
    <w:rsid w:val="729023FC"/>
    <w:rsid w:val="72B47EB3"/>
    <w:rsid w:val="72BE797E"/>
    <w:rsid w:val="72F62F44"/>
    <w:rsid w:val="730323E5"/>
    <w:rsid w:val="731478B4"/>
    <w:rsid w:val="73230B7E"/>
    <w:rsid w:val="732C354E"/>
    <w:rsid w:val="733500C2"/>
    <w:rsid w:val="733B71B2"/>
    <w:rsid w:val="735621CE"/>
    <w:rsid w:val="7361387E"/>
    <w:rsid w:val="73AB3D2F"/>
    <w:rsid w:val="73B61051"/>
    <w:rsid w:val="73BD3F16"/>
    <w:rsid w:val="73C0646E"/>
    <w:rsid w:val="73DF42FF"/>
    <w:rsid w:val="73EB6821"/>
    <w:rsid w:val="73EE500F"/>
    <w:rsid w:val="740E335C"/>
    <w:rsid w:val="74203EA7"/>
    <w:rsid w:val="742222F5"/>
    <w:rsid w:val="74476126"/>
    <w:rsid w:val="745545CC"/>
    <w:rsid w:val="746851DB"/>
    <w:rsid w:val="74706664"/>
    <w:rsid w:val="747F3682"/>
    <w:rsid w:val="748C526A"/>
    <w:rsid w:val="749C4185"/>
    <w:rsid w:val="74B12021"/>
    <w:rsid w:val="74E70F51"/>
    <w:rsid w:val="74F75E16"/>
    <w:rsid w:val="750162FC"/>
    <w:rsid w:val="75067759"/>
    <w:rsid w:val="75241F9B"/>
    <w:rsid w:val="752A0527"/>
    <w:rsid w:val="752E6DCD"/>
    <w:rsid w:val="75383588"/>
    <w:rsid w:val="753955E3"/>
    <w:rsid w:val="75463531"/>
    <w:rsid w:val="75501DCA"/>
    <w:rsid w:val="7551380D"/>
    <w:rsid w:val="75600BE5"/>
    <w:rsid w:val="7564475C"/>
    <w:rsid w:val="75745D3F"/>
    <w:rsid w:val="7583797F"/>
    <w:rsid w:val="75A80B7E"/>
    <w:rsid w:val="75B3424F"/>
    <w:rsid w:val="75D20F1D"/>
    <w:rsid w:val="75DA2C18"/>
    <w:rsid w:val="75E67B42"/>
    <w:rsid w:val="75F2050F"/>
    <w:rsid w:val="75F54412"/>
    <w:rsid w:val="7605446D"/>
    <w:rsid w:val="760F7E52"/>
    <w:rsid w:val="761D08E0"/>
    <w:rsid w:val="762B0E62"/>
    <w:rsid w:val="764125B7"/>
    <w:rsid w:val="76487F5B"/>
    <w:rsid w:val="765D347C"/>
    <w:rsid w:val="76605118"/>
    <w:rsid w:val="766B56C4"/>
    <w:rsid w:val="76826699"/>
    <w:rsid w:val="76852B9B"/>
    <w:rsid w:val="769641FD"/>
    <w:rsid w:val="76981320"/>
    <w:rsid w:val="76A333E3"/>
    <w:rsid w:val="76C87133"/>
    <w:rsid w:val="76CD08D5"/>
    <w:rsid w:val="76DB4B92"/>
    <w:rsid w:val="76E103D5"/>
    <w:rsid w:val="76E67523"/>
    <w:rsid w:val="76E934EC"/>
    <w:rsid w:val="77052AA4"/>
    <w:rsid w:val="77136511"/>
    <w:rsid w:val="77276B4F"/>
    <w:rsid w:val="77340A39"/>
    <w:rsid w:val="77351FD0"/>
    <w:rsid w:val="77472422"/>
    <w:rsid w:val="775D3592"/>
    <w:rsid w:val="776B2153"/>
    <w:rsid w:val="776B3F01"/>
    <w:rsid w:val="776C2193"/>
    <w:rsid w:val="7773786A"/>
    <w:rsid w:val="777C64C1"/>
    <w:rsid w:val="777F31F2"/>
    <w:rsid w:val="77A318EC"/>
    <w:rsid w:val="77B63DB5"/>
    <w:rsid w:val="77C27A21"/>
    <w:rsid w:val="77D1700D"/>
    <w:rsid w:val="77D51494"/>
    <w:rsid w:val="77DF1FFC"/>
    <w:rsid w:val="77EC04CC"/>
    <w:rsid w:val="782F5058"/>
    <w:rsid w:val="783A61F2"/>
    <w:rsid w:val="78436C2C"/>
    <w:rsid w:val="78450BF6"/>
    <w:rsid w:val="784B5004"/>
    <w:rsid w:val="784E2BA5"/>
    <w:rsid w:val="78775729"/>
    <w:rsid w:val="78792E91"/>
    <w:rsid w:val="78A42DB0"/>
    <w:rsid w:val="78A55B5A"/>
    <w:rsid w:val="78A656AB"/>
    <w:rsid w:val="78B2245C"/>
    <w:rsid w:val="78B76C44"/>
    <w:rsid w:val="78BE2A09"/>
    <w:rsid w:val="78DA4EB4"/>
    <w:rsid w:val="78DA7B33"/>
    <w:rsid w:val="78E172CC"/>
    <w:rsid w:val="78E83E7D"/>
    <w:rsid w:val="78EA1D1F"/>
    <w:rsid w:val="7904172F"/>
    <w:rsid w:val="790F7E27"/>
    <w:rsid w:val="79280CDA"/>
    <w:rsid w:val="792A231A"/>
    <w:rsid w:val="79316829"/>
    <w:rsid w:val="79343894"/>
    <w:rsid w:val="79452EB8"/>
    <w:rsid w:val="79515378"/>
    <w:rsid w:val="795B3127"/>
    <w:rsid w:val="79715838"/>
    <w:rsid w:val="797E66A9"/>
    <w:rsid w:val="79886722"/>
    <w:rsid w:val="79A00398"/>
    <w:rsid w:val="79A97383"/>
    <w:rsid w:val="79C65890"/>
    <w:rsid w:val="79C8388C"/>
    <w:rsid w:val="79D374E8"/>
    <w:rsid w:val="79E27E8B"/>
    <w:rsid w:val="79F850CE"/>
    <w:rsid w:val="79FD443C"/>
    <w:rsid w:val="7A191369"/>
    <w:rsid w:val="7A1D1975"/>
    <w:rsid w:val="7A3B22B0"/>
    <w:rsid w:val="7A3E5150"/>
    <w:rsid w:val="7A4670D6"/>
    <w:rsid w:val="7A4D59C1"/>
    <w:rsid w:val="7A4F7AF2"/>
    <w:rsid w:val="7A534B63"/>
    <w:rsid w:val="7A562A62"/>
    <w:rsid w:val="7A615382"/>
    <w:rsid w:val="7A67303B"/>
    <w:rsid w:val="7A72125C"/>
    <w:rsid w:val="7A764BE4"/>
    <w:rsid w:val="7A7A56B8"/>
    <w:rsid w:val="7A901265"/>
    <w:rsid w:val="7A941157"/>
    <w:rsid w:val="7AA86A41"/>
    <w:rsid w:val="7AAB1D04"/>
    <w:rsid w:val="7AB65E56"/>
    <w:rsid w:val="7ABA4368"/>
    <w:rsid w:val="7AD05746"/>
    <w:rsid w:val="7AD92A11"/>
    <w:rsid w:val="7AE36134"/>
    <w:rsid w:val="7AF14882"/>
    <w:rsid w:val="7AFBFE60"/>
    <w:rsid w:val="7B046B46"/>
    <w:rsid w:val="7B213410"/>
    <w:rsid w:val="7B257FFD"/>
    <w:rsid w:val="7B343476"/>
    <w:rsid w:val="7B3C12EC"/>
    <w:rsid w:val="7B41132B"/>
    <w:rsid w:val="7B4A207F"/>
    <w:rsid w:val="7B515B18"/>
    <w:rsid w:val="7B5A2978"/>
    <w:rsid w:val="7B5A7E4C"/>
    <w:rsid w:val="7B667AF9"/>
    <w:rsid w:val="7B7468F8"/>
    <w:rsid w:val="7B89595B"/>
    <w:rsid w:val="7B930F25"/>
    <w:rsid w:val="7B9A57BB"/>
    <w:rsid w:val="7BA23C69"/>
    <w:rsid w:val="7BB25107"/>
    <w:rsid w:val="7BB5401E"/>
    <w:rsid w:val="7BBD3B9C"/>
    <w:rsid w:val="7BC85950"/>
    <w:rsid w:val="7BEE0103"/>
    <w:rsid w:val="7C06069C"/>
    <w:rsid w:val="7C0A0FE4"/>
    <w:rsid w:val="7C241BE4"/>
    <w:rsid w:val="7C254906"/>
    <w:rsid w:val="7C43544C"/>
    <w:rsid w:val="7C460FDB"/>
    <w:rsid w:val="7C590818"/>
    <w:rsid w:val="7C5B3953"/>
    <w:rsid w:val="7C694FAC"/>
    <w:rsid w:val="7C7A7ECB"/>
    <w:rsid w:val="7C7C10F6"/>
    <w:rsid w:val="7C853BEA"/>
    <w:rsid w:val="7C881368"/>
    <w:rsid w:val="7C8B0BA1"/>
    <w:rsid w:val="7CA00232"/>
    <w:rsid w:val="7CBB3234"/>
    <w:rsid w:val="7CDA5BF1"/>
    <w:rsid w:val="7CE27788"/>
    <w:rsid w:val="7D020E63"/>
    <w:rsid w:val="7D0C32F1"/>
    <w:rsid w:val="7D0F408D"/>
    <w:rsid w:val="7D491C6C"/>
    <w:rsid w:val="7D5429C0"/>
    <w:rsid w:val="7D6E6D43"/>
    <w:rsid w:val="7D8442EE"/>
    <w:rsid w:val="7DB352E3"/>
    <w:rsid w:val="7DB57A34"/>
    <w:rsid w:val="7DC634E1"/>
    <w:rsid w:val="7DD7081A"/>
    <w:rsid w:val="7DE60973"/>
    <w:rsid w:val="7DE95B7F"/>
    <w:rsid w:val="7DEF0916"/>
    <w:rsid w:val="7E0B1356"/>
    <w:rsid w:val="7E1471A4"/>
    <w:rsid w:val="7E1C5F55"/>
    <w:rsid w:val="7E1E5218"/>
    <w:rsid w:val="7E223E9B"/>
    <w:rsid w:val="7E2272E3"/>
    <w:rsid w:val="7E244E09"/>
    <w:rsid w:val="7E9A4E1F"/>
    <w:rsid w:val="7EA7723A"/>
    <w:rsid w:val="7EC14D4E"/>
    <w:rsid w:val="7EC51733"/>
    <w:rsid w:val="7ECB1BC4"/>
    <w:rsid w:val="7ED628B4"/>
    <w:rsid w:val="7EDF4BF2"/>
    <w:rsid w:val="7EF56FBB"/>
    <w:rsid w:val="7EFA43CF"/>
    <w:rsid w:val="7EFF7307"/>
    <w:rsid w:val="7F0768EB"/>
    <w:rsid w:val="7F143BEC"/>
    <w:rsid w:val="7F16521A"/>
    <w:rsid w:val="7F1B3F8A"/>
    <w:rsid w:val="7F3128C8"/>
    <w:rsid w:val="7F715AF2"/>
    <w:rsid w:val="7F886E69"/>
    <w:rsid w:val="7F954211"/>
    <w:rsid w:val="7F9942BD"/>
    <w:rsid w:val="7FBC3A68"/>
    <w:rsid w:val="7FC237CA"/>
    <w:rsid w:val="7FC40652"/>
    <w:rsid w:val="7FD02F76"/>
    <w:rsid w:val="98D5CF7A"/>
    <w:rsid w:val="AFBDBFBF"/>
    <w:rsid w:val="BB7FA927"/>
    <w:rsid w:val="BC7E9454"/>
    <w:rsid w:val="BF7F1571"/>
    <w:rsid w:val="CFFFC8B0"/>
    <w:rsid w:val="DEA76C22"/>
    <w:rsid w:val="DF77B0BD"/>
    <w:rsid w:val="EBEDC08D"/>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qFormat="1" w:uiPriority="0" w:semiHidden="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969"/>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5">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styleId="6">
    <w:name w:val="Body Text Indent"/>
    <w:basedOn w:val="1"/>
    <w:next w:val="7"/>
    <w:link w:val="264"/>
    <w:qFormat/>
    <w:uiPriority w:val="0"/>
    <w:pPr>
      <w:spacing w:line="480" w:lineRule="exact"/>
      <w:ind w:firstLine="480" w:firstLineChars="200"/>
    </w:pPr>
    <w:rPr>
      <w:rFonts w:ascii="宋体" w:hAnsi="宋体"/>
      <w:sz w:val="24"/>
    </w:rPr>
  </w:style>
  <w:style w:type="paragraph" w:styleId="7">
    <w:name w:val="envelope return"/>
    <w:basedOn w:val="1"/>
    <w:unhideWhenUsed/>
    <w:qFormat/>
    <w:uiPriority w:val="0"/>
    <w:pPr>
      <w:snapToGrid w:val="0"/>
    </w:pPr>
    <w:rPr>
      <w:rFonts w:ascii="Arial" w:hAnsi="Arial"/>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Normal Indent"/>
    <w:basedOn w:val="1"/>
    <w:next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28"/>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1"/>
    <w:qFormat/>
    <w:uiPriority w:val="0"/>
    <w:pPr>
      <w:shd w:val="clear" w:color="auto" w:fill="000080"/>
    </w:pPr>
  </w:style>
  <w:style w:type="paragraph" w:styleId="22">
    <w:name w:val="annotation text"/>
    <w:basedOn w:val="1"/>
    <w:link w:val="343"/>
    <w:qFormat/>
    <w:uiPriority w:val="99"/>
    <w:pPr>
      <w:jc w:val="left"/>
    </w:pPr>
  </w:style>
  <w:style w:type="paragraph" w:styleId="23">
    <w:name w:val="Salutation"/>
    <w:basedOn w:val="1"/>
    <w:next w:val="1"/>
    <w:link w:val="297"/>
    <w:qFormat/>
    <w:uiPriority w:val="0"/>
    <w:rPr>
      <w:rFonts w:ascii="仿宋_GB2312" w:eastAsia="仿宋_GB2312"/>
      <w:sz w:val="28"/>
      <w:szCs w:val="20"/>
    </w:rPr>
  </w:style>
  <w:style w:type="paragraph" w:styleId="24">
    <w:name w:val="Body Text 3"/>
    <w:basedOn w:val="1"/>
    <w:link w:val="329"/>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1"/>
    <w:link w:val="429"/>
    <w:qFormat/>
    <w:uiPriority w:val="0"/>
    <w:pPr>
      <w:autoSpaceDE w:val="0"/>
      <w:autoSpaceDN w:val="0"/>
      <w:spacing w:line="360" w:lineRule="auto"/>
    </w:pPr>
    <w:rPr>
      <w:rFonts w:ascii="宋体" w:hAnsi="Arial" w:cs="Arial"/>
      <w:snapToGrid w:val="0"/>
      <w:sz w:val="24"/>
      <w:szCs w:val="21"/>
      <w:lang w:val="zh-CN"/>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97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0"/>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7"/>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8"/>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5"/>
    <w:qFormat/>
    <w:uiPriority w:val="0"/>
    <w:rPr>
      <w:b/>
      <w:bCs/>
    </w:rPr>
  </w:style>
  <w:style w:type="paragraph" w:styleId="62">
    <w:name w:val="Body Text First Indent"/>
    <w:basedOn w:val="26"/>
    <w:link w:val="320"/>
    <w:qFormat/>
    <w:uiPriority w:val="0"/>
    <w:pPr>
      <w:ind w:firstLine="420"/>
    </w:pPr>
    <w:rPr>
      <w:rFonts w:hAnsi="Calibri" w:cs="Times New Roman"/>
      <w:snapToGrid/>
      <w:szCs w:val="20"/>
    </w:rPr>
  </w:style>
  <w:style w:type="paragraph" w:styleId="63">
    <w:name w:val="Body Text First Indent 2"/>
    <w:basedOn w:val="6"/>
    <w:link w:val="974"/>
    <w:qFormat/>
    <w:uiPriority w:val="0"/>
    <w:pPr>
      <w:adjustRightInd/>
      <w:spacing w:after="120" w:line="240" w:lineRule="auto"/>
      <w:ind w:left="420" w:leftChars="200" w:firstLine="210"/>
    </w:pPr>
    <w:rPr>
      <w:sz w:val="21"/>
    </w:rPr>
  </w:style>
  <w:style w:type="table" w:styleId="65">
    <w:name w:val="Table Grid"/>
    <w:basedOn w:val="6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文本首行缩进 2 字符"/>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1"/>
    <w:qFormat/>
    <w:uiPriority w:val="0"/>
    <w:rPr>
      <w:rFonts w:ascii="Arial" w:hAnsi="Arial" w:eastAsia="黑体" w:cs="Arial"/>
      <w:snapToGrid w:val="0"/>
      <w:kern w:val="0"/>
      <w:szCs w:val="21"/>
    </w:rPr>
  </w:style>
  <w:style w:type="character" w:customStyle="1" w:styleId="124">
    <w:name w:val="纯文本 字符1"/>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8"/>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3"/>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7"/>
    <w:qFormat/>
    <w:uiPriority w:val="0"/>
    <w:rPr>
      <w:rFonts w:ascii="宋体"/>
      <w:kern w:val="2"/>
      <w:sz w:val="24"/>
      <w:szCs w:val="21"/>
      <w:lang w:val="zh-CN"/>
    </w:rPr>
  </w:style>
  <w:style w:type="character" w:customStyle="1" w:styleId="181">
    <w:name w:val="标题 9 Char"/>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0"/>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8"/>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21"/>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1"/>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9"/>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7">
    <w:name w:val="列出段落1"/>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2"/>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3"/>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1"/>
    <w:qFormat/>
    <w:uiPriority w:val="0"/>
    <w:rPr>
      <w:b/>
      <w:bCs/>
      <w:kern w:val="2"/>
      <w:sz w:val="24"/>
      <w:szCs w:val="24"/>
    </w:rPr>
  </w:style>
  <w:style w:type="character" w:customStyle="1" w:styleId="307">
    <w:name w:val="正文文本缩进 2 Char"/>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2"/>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4"/>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2"/>
    <w:qFormat/>
    <w:uiPriority w:val="0"/>
    <w:rPr>
      <w:kern w:val="2"/>
      <w:sz w:val="21"/>
      <w:szCs w:val="24"/>
    </w:rPr>
  </w:style>
  <w:style w:type="character" w:customStyle="1" w:styleId="344">
    <w:name w:val="签名 Char"/>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1"/>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8"/>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430">
    <w:name w:val="gray6"/>
    <w:basedOn w:val="71"/>
    <w:qFormat/>
    <w:uiPriority w:val="0"/>
    <w:rPr>
      <w:rFonts w:ascii="Arial" w:hAnsi="Arial" w:eastAsia="黑体" w:cs="Arial"/>
      <w:snapToGrid w:val="0"/>
      <w:kern w:val="0"/>
      <w:szCs w:val="21"/>
    </w:rPr>
  </w:style>
  <w:style w:type="character" w:customStyle="1" w:styleId="431">
    <w:name w:val="hui"/>
    <w:basedOn w:val="71"/>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2">
    <w:name w:val="无间隔2"/>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Lines="0" w:afterLines="0"/>
      <w:ind w:left="1680"/>
      <w:outlineLvl w:val="2"/>
    </w:pPr>
  </w:style>
  <w:style w:type="paragraph" w:customStyle="1" w:styleId="657">
    <w:name w:val="章标题"/>
    <w:next w:val="63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6"/>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6"/>
    <w:qFormat/>
    <w:uiPriority w:val="0"/>
    <w:pPr>
      <w:autoSpaceDE/>
      <w:autoSpaceDN/>
      <w:snapToGrid w:val="0"/>
      <w:ind w:firstLine="480" w:firstLineChars="200"/>
    </w:pPr>
    <w:rPr>
      <w:rFonts w:ascii="Times New Roman"/>
      <w:szCs w:val="24"/>
      <w:lang w:val="en-US"/>
    </w:rPr>
  </w:style>
  <w:style w:type="paragraph" w:customStyle="1" w:styleId="768">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9"/>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639"/>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6"/>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6"/>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1"/>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6"/>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2"/>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字符"/>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search_content1"/>
    <w:qFormat/>
    <w:uiPriority w:val="0"/>
    <w:rPr>
      <w:sz w:val="20"/>
      <w:szCs w:val="20"/>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未处理的提及2"/>
    <w:basedOn w:val="71"/>
    <w:unhideWhenUsed/>
    <w:qFormat/>
    <w:uiPriority w:val="99"/>
    <w:rPr>
      <w:color w:val="605E5C"/>
      <w:shd w:val="clear" w:color="auto" w:fill="E1DFDD"/>
    </w:rPr>
  </w:style>
  <w:style w:type="character" w:customStyle="1" w:styleId="965">
    <w:name w:val="NormalCharacter"/>
    <w:semiHidden/>
    <w:qFormat/>
    <w:uiPriority w:val="0"/>
  </w:style>
  <w:style w:type="paragraph" w:customStyle="1" w:styleId="966">
    <w:name w:val="PlainText"/>
    <w:basedOn w:val="1"/>
    <w:link w:val="967"/>
    <w:qFormat/>
    <w:uiPriority w:val="0"/>
    <w:pPr>
      <w:widowControl/>
      <w:adjustRightInd/>
      <w:spacing w:line="360" w:lineRule="auto"/>
      <w:textAlignment w:val="baseline"/>
    </w:pPr>
    <w:rPr>
      <w:rFonts w:ascii="宋体" w:hAnsi="Courier New"/>
      <w:szCs w:val="20"/>
    </w:rPr>
  </w:style>
  <w:style w:type="character" w:customStyle="1" w:styleId="967">
    <w:name w:val="UserStyle_13"/>
    <w:link w:val="966"/>
    <w:qFormat/>
    <w:locked/>
    <w:uiPriority w:val="0"/>
    <w:rPr>
      <w:rFonts w:ascii="宋体" w:hAnsi="Courier New"/>
      <w:kern w:val="2"/>
      <w:sz w:val="21"/>
    </w:rPr>
  </w:style>
  <w:style w:type="character" w:customStyle="1" w:styleId="968">
    <w:name w:val="纯文本 Char3"/>
    <w:basedOn w:val="71"/>
    <w:qFormat/>
    <w:uiPriority w:val="0"/>
    <w:rPr>
      <w:rFonts w:hint="eastAsia" w:ascii="宋体" w:hAnsi="Courier New" w:eastAsia="宋体" w:cs="Arial"/>
      <w:snapToGrid w:val="0"/>
      <w:kern w:val="2"/>
      <w:sz w:val="21"/>
      <w:szCs w:val="21"/>
    </w:rPr>
  </w:style>
  <w:style w:type="character" w:customStyle="1" w:styleId="969">
    <w:name w:val="标题 3 Char"/>
    <w:basedOn w:val="71"/>
    <w:link w:val="4"/>
    <w:qFormat/>
    <w:uiPriority w:val="0"/>
    <w:rPr>
      <w:rFonts w:hint="eastAsia" w:ascii="黑体" w:hAnsi="宋体" w:eastAsia="黑体" w:cs="黑体"/>
      <w:b/>
      <w:kern w:val="2"/>
      <w:sz w:val="30"/>
      <w:szCs w:val="32"/>
    </w:rPr>
  </w:style>
  <w:style w:type="character" w:customStyle="1" w:styleId="970">
    <w:name w:val="fontstyle01"/>
    <w:qFormat/>
    <w:uiPriority w:val="99"/>
    <w:rPr>
      <w:rFonts w:ascii="宋体" w:hAnsi="宋体" w:eastAsia="宋体"/>
      <w:color w:val="000000"/>
      <w:sz w:val="22"/>
    </w:rPr>
  </w:style>
  <w:style w:type="character" w:customStyle="1" w:styleId="971">
    <w:name w:val="表格内容 Char"/>
    <w:basedOn w:val="71"/>
    <w:link w:val="972"/>
    <w:qFormat/>
    <w:uiPriority w:val="0"/>
    <w:rPr>
      <w:rFonts w:hint="default" w:ascii="Calibri" w:hAnsi="Calibri" w:cs="Calibri"/>
      <w:kern w:val="2"/>
      <w:sz w:val="21"/>
      <w:szCs w:val="22"/>
    </w:rPr>
  </w:style>
  <w:style w:type="paragraph" w:customStyle="1" w:styleId="972">
    <w:name w:val="表格内容"/>
    <w:basedOn w:val="1"/>
    <w:link w:val="971"/>
    <w:qFormat/>
    <w:uiPriority w:val="0"/>
    <w:pPr>
      <w:adjustRightInd/>
      <w:jc w:val="center"/>
    </w:pPr>
    <w:rPr>
      <w:rFonts w:ascii="Calibri" w:hAnsi="Calibri"/>
      <w:szCs w:val="22"/>
    </w:rPr>
  </w:style>
  <w:style w:type="character" w:customStyle="1" w:styleId="973">
    <w:name w:val="纯文本 Char"/>
    <w:basedOn w:val="71"/>
    <w:qFormat/>
    <w:uiPriority w:val="0"/>
    <w:rPr>
      <w:rFonts w:hint="eastAsia" w:ascii="宋体" w:hAnsi="Courier New" w:eastAsia="宋体" w:cs="Arial"/>
      <w:snapToGrid w:val="0"/>
      <w:kern w:val="2"/>
      <w:sz w:val="21"/>
      <w:szCs w:val="21"/>
    </w:rPr>
  </w:style>
  <w:style w:type="character" w:customStyle="1" w:styleId="974">
    <w:name w:val="正文首行缩进 2 Char"/>
    <w:link w:val="63"/>
    <w:qFormat/>
    <w:uiPriority w:val="0"/>
    <w:rPr>
      <w:kern w:val="2"/>
      <w:sz w:val="21"/>
      <w:szCs w:val="24"/>
    </w:rPr>
  </w:style>
  <w:style w:type="character" w:customStyle="1" w:styleId="975">
    <w:name w:val="纯文本 Char4"/>
    <w:basedOn w:val="71"/>
    <w:link w:val="34"/>
    <w:qFormat/>
    <w:uiPriority w:val="0"/>
    <w:rPr>
      <w:rFonts w:hint="eastAsia" w:ascii="宋体" w:hAnsi="Courier New" w:eastAsia="宋体" w:cs="Courier New"/>
      <w:kern w:val="2"/>
      <w:sz w:val="21"/>
      <w:szCs w:val="21"/>
    </w:rPr>
  </w:style>
  <w:style w:type="paragraph" w:styleId="976">
    <w:name w:val="List Paragraph"/>
    <w:basedOn w:val="1"/>
    <w:qFormat/>
    <w:uiPriority w:val="34"/>
    <w:pPr>
      <w:ind w:firstLine="420" w:firstLineChars="200"/>
    </w:pPr>
    <w:rPr>
      <w:rFonts w:ascii="等线" w:hAnsi="等线" w:eastAsia="等线"/>
      <w:szCs w:val="22"/>
    </w:rPr>
  </w:style>
  <w:style w:type="character" w:customStyle="1" w:styleId="977">
    <w:name w:val="translated-span"/>
    <w:basedOn w:val="71"/>
    <w:qFormat/>
    <w:uiPriority w:val="0"/>
  </w:style>
  <w:style w:type="table" w:customStyle="1" w:styleId="978">
    <w:name w:val="网格型11"/>
    <w:basedOn w:val="6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979">
    <w:name w:val="正文首行缩进 21"/>
    <w:basedOn w:val="6"/>
    <w:unhideWhenUsed/>
    <w:qFormat/>
    <w:uiPriority w:val="0"/>
    <w:pPr>
      <w:ind w:firstLine="42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91</Pages>
  <Words>46964</Words>
  <Characters>49398</Characters>
  <Lines>362</Lines>
  <Paragraphs>102</Paragraphs>
  <TotalTime>21</TotalTime>
  <ScaleCrop>false</ScaleCrop>
  <LinksUpToDate>false</LinksUpToDate>
  <CharactersWithSpaces>50385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2022-01-29T06:00:00Z</dcterms:created>
  <dc:creator>玥</dc:creator>
  <cp:lastModifiedBy>娇</cp:lastModifiedBy>
  <cp:lastPrinted>2022-02-14T22:40:00Z</cp:lastPrinted>
  <dcterms:modified xsi:type="dcterms:W3CDTF">2022-09-30T12:15:36Z</dcterms:modified>
  <dc:title>杭州市市民卡扩大发卡工程</dc:title>
  <cp:revision>554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4DB0E507EBD44F1F9AA2A4F398DF5CC6</vt:lpwstr>
  </property>
</Properties>
</file>