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4.9.0.0 -->
  <w:body>
    <w:p>
      <w:pPr>
        <w:keepNext/>
        <w:spacing w:line="480" w:lineRule="auto"/>
        <w:rPr>
          <w:rFonts w:ascii="华文中宋" w:eastAsia="华文中宋" w:hAnsi="华文中宋"/>
          <w:b/>
          <w:sz w:val="72"/>
        </w:rPr>
      </w:pPr>
      <w:bookmarkStart w:id="0" w:name="_GoBack"/>
      <w:bookmarkEnd w:id="0"/>
      <w:r>
        <w:drawing>
          <wp:inline distT="0" distB="0" distL="0" distR="0">
            <wp:extent cx="1786890" cy="618490"/>
            <wp:effectExtent l="0" t="0" r="3810" b="1016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xmlns:r="http://schemas.openxmlformats.org/officeDocument/2006/relationships" r:embed="rId4" cstate="print"/>
                    <a:stretch>
                      <a:fillRect/>
                    </a:stretch>
                  </pic:blipFill>
                  <pic:spPr>
                    <a:xfrm>
                      <a:off x="0" y="0"/>
                      <a:ext cx="1843107" cy="638263"/>
                    </a:xfrm>
                    <a:prstGeom prst="rect">
                      <a:avLst/>
                    </a:prstGeom>
                  </pic:spPr>
                </pic:pic>
              </a:graphicData>
            </a:graphic>
          </wp:inline>
        </w:drawing>
      </w:r>
    </w:p>
    <w:p>
      <w:pPr>
        <w:snapToGrid w:val="0"/>
        <w:spacing w:before="156" w:beforeLines="50"/>
        <w:rPr>
          <w:rFonts w:ascii="仿宋_GB2312" w:eastAsia="仿宋_GB2312"/>
          <w:b/>
          <w:color w:val="FF0000"/>
          <w:sz w:val="32"/>
        </w:rPr>
      </w:pPr>
    </w:p>
    <w:p>
      <w:pPr>
        <w:snapToGrid w:val="0"/>
        <w:spacing w:before="156" w:beforeLines="50"/>
        <w:rPr>
          <w:rFonts w:asciiTheme="minorEastAsia" w:eastAsiaTheme="minorEastAsia" w:hAnsiTheme="minorEastAsia"/>
          <w:b/>
          <w:color w:val="FF0000"/>
          <w:sz w:val="32"/>
        </w:rPr>
      </w:pPr>
    </w:p>
    <w:p>
      <w:pPr>
        <w:snapToGrid w:val="0"/>
        <w:spacing w:before="156" w:beforeLines="50"/>
        <w:jc w:val="center"/>
        <w:rPr>
          <w:rFonts w:ascii="仿宋" w:eastAsia="仿宋" w:hAnsi="仿宋"/>
          <w:b/>
          <w:color w:val="auto"/>
          <w:sz w:val="44"/>
          <w:szCs w:val="44"/>
        </w:rPr>
      </w:pPr>
      <w:r>
        <w:rPr>
          <w:rFonts w:ascii="仿宋" w:eastAsia="仿宋" w:hAnsi="仿宋" w:hint="eastAsia"/>
          <w:b/>
          <w:sz w:val="44"/>
          <w:szCs w:val="44"/>
        </w:rPr>
        <w:t>政府采</w:t>
      </w:r>
      <w:r>
        <w:rPr>
          <w:rFonts w:ascii="仿宋" w:eastAsia="仿宋" w:hAnsi="仿宋" w:hint="eastAsia"/>
          <w:b/>
          <w:color w:val="auto"/>
          <w:sz w:val="44"/>
          <w:szCs w:val="44"/>
        </w:rPr>
        <w:t>购服务公开招标项目</w:t>
      </w:r>
    </w:p>
    <w:p>
      <w:pPr>
        <w:snapToGrid w:val="0"/>
        <w:spacing w:before="156" w:beforeLines="50"/>
        <w:jc w:val="center"/>
        <w:rPr>
          <w:rFonts w:ascii="仿宋" w:eastAsia="仿宋" w:hAnsi="仿宋" w:cs="华文中宋"/>
          <w:b/>
          <w:bCs/>
          <w:color w:val="auto"/>
          <w:sz w:val="72"/>
          <w:szCs w:val="72"/>
        </w:rPr>
      </w:pPr>
    </w:p>
    <w:p>
      <w:pPr>
        <w:snapToGrid w:val="0"/>
        <w:spacing w:before="156" w:beforeLines="50"/>
        <w:jc w:val="center"/>
        <w:rPr>
          <w:rFonts w:ascii="仿宋" w:eastAsia="仿宋" w:hAnsi="仿宋" w:cs="华文中宋"/>
          <w:b/>
          <w:bCs/>
          <w:color w:val="auto"/>
          <w:sz w:val="72"/>
          <w:szCs w:val="72"/>
        </w:rPr>
      </w:pPr>
    </w:p>
    <w:p>
      <w:pPr>
        <w:snapToGrid w:val="0"/>
        <w:spacing w:before="156" w:beforeLines="50"/>
        <w:jc w:val="center"/>
        <w:rPr>
          <w:rFonts w:ascii="仿宋" w:eastAsia="仿宋" w:hAnsi="仿宋"/>
          <w:b/>
          <w:color w:val="auto"/>
          <w:sz w:val="120"/>
          <w:szCs w:val="120"/>
        </w:rPr>
      </w:pPr>
      <w:r>
        <w:rPr>
          <w:rFonts w:ascii="仿宋" w:eastAsia="仿宋" w:hAnsi="仿宋" w:hint="eastAsia"/>
          <w:b/>
          <w:color w:val="auto"/>
          <w:sz w:val="120"/>
          <w:szCs w:val="120"/>
        </w:rPr>
        <w:t>招 标 文 件</w:t>
      </w:r>
    </w:p>
    <w:p>
      <w:pPr>
        <w:spacing w:line="360" w:lineRule="auto"/>
        <w:rPr>
          <w:rFonts w:ascii="仿宋" w:eastAsia="仿宋" w:hAnsi="仿宋"/>
          <w:color w:val="auto"/>
          <w:sz w:val="24"/>
        </w:rPr>
      </w:pPr>
    </w:p>
    <w:p>
      <w:pPr>
        <w:snapToGrid w:val="0"/>
        <w:spacing w:before="156" w:beforeLines="50"/>
        <w:jc w:val="center"/>
        <w:rPr>
          <w:rFonts w:ascii="仿宋" w:eastAsia="仿宋" w:hAnsi="仿宋" w:hint="eastAsia"/>
          <w:b/>
          <w:color w:val="auto"/>
          <w:sz w:val="36"/>
          <w:szCs w:val="36"/>
          <w:lang w:eastAsia="zh-CN"/>
        </w:rPr>
      </w:pPr>
      <w:r>
        <w:rPr>
          <w:rFonts w:ascii="仿宋" w:eastAsia="仿宋" w:hAnsi="仿宋" w:hint="eastAsia"/>
          <w:b/>
          <w:color w:val="auto"/>
          <w:sz w:val="36"/>
          <w:szCs w:val="36"/>
        </w:rPr>
        <w:t>项目编号：</w:t>
      </w:r>
      <w:r>
        <w:rPr>
          <w:rFonts w:ascii="仿宋" w:eastAsia="仿宋" w:hAnsi="仿宋" w:hint="eastAsia"/>
          <w:b/>
          <w:color w:val="auto"/>
          <w:sz w:val="36"/>
          <w:szCs w:val="36"/>
          <w:lang w:eastAsia="zh-CN"/>
        </w:rPr>
        <w:t>SZDL2022002374（CLF0122SZ17ZC77）</w:t>
      </w:r>
    </w:p>
    <w:p>
      <w:pPr>
        <w:snapToGrid w:val="0"/>
        <w:spacing w:line="360" w:lineRule="auto"/>
        <w:rPr>
          <w:rFonts w:ascii="仿宋" w:eastAsia="仿宋" w:hAnsi="仿宋"/>
          <w:sz w:val="32"/>
        </w:rPr>
      </w:pPr>
    </w:p>
    <w:p>
      <w:pPr>
        <w:spacing w:line="360" w:lineRule="auto"/>
        <w:rPr>
          <w:rFonts w:ascii="仿宋" w:eastAsia="仿宋" w:hAnsi="仿宋"/>
          <w:sz w:val="30"/>
        </w:rPr>
      </w:pPr>
    </w:p>
    <w:p>
      <w:pPr>
        <w:snapToGrid w:val="0"/>
        <w:spacing w:before="156" w:beforeLines="50"/>
        <w:jc w:val="center"/>
        <w:rPr>
          <w:rFonts w:ascii="仿宋" w:eastAsia="仿宋" w:hAnsi="仿宋" w:hint="eastAsia"/>
          <w:b/>
          <w:color w:val="000000" w:themeColor="text1"/>
          <w:sz w:val="44"/>
          <w:szCs w:val="44"/>
          <w:lang w:eastAsia="zh-CN"/>
          <w14:textFill>
            <w14:solidFill>
              <w14:schemeClr w14:val="tx1"/>
            </w14:solidFill>
          </w14:textFill>
        </w:rPr>
      </w:pPr>
      <w:r>
        <w:rPr>
          <w:rFonts w:ascii="仿宋" w:eastAsia="仿宋" w:hAnsi="仿宋" w:hint="eastAsia"/>
          <w:b/>
          <w:color w:val="000000" w:themeColor="text1"/>
          <w:sz w:val="44"/>
          <w:szCs w:val="44"/>
          <w:lang w:eastAsia="zh-CN"/>
          <w14:textFill>
            <w14:solidFill>
              <w14:schemeClr w14:val="tx1"/>
            </w14:solidFill>
          </w14:textFill>
        </w:rPr>
        <w:t>深圳市生态环境局</w:t>
      </w:r>
    </w:p>
    <w:p>
      <w:pPr>
        <w:snapToGrid w:val="0"/>
        <w:spacing w:before="156" w:beforeLines="50"/>
        <w:jc w:val="center"/>
        <w:rPr>
          <w:rFonts w:ascii="仿宋" w:eastAsia="仿宋" w:hAnsi="仿宋"/>
          <w:b/>
          <w:color w:val="000000" w:themeColor="text1"/>
          <w:sz w:val="44"/>
          <w:szCs w:val="44"/>
          <w14:textFill>
            <w14:solidFill>
              <w14:schemeClr w14:val="tx1"/>
            </w14:solidFill>
          </w14:textFill>
        </w:rPr>
      </w:pPr>
      <w:r>
        <w:rPr>
          <w:rFonts w:ascii="仿宋" w:eastAsia="仿宋" w:hAnsi="仿宋" w:hint="eastAsia"/>
          <w:b/>
          <w:color w:val="000000" w:themeColor="text1"/>
          <w:sz w:val="44"/>
          <w:szCs w:val="44"/>
          <w14:textFill>
            <w14:solidFill>
              <w14:schemeClr w14:val="tx1"/>
            </w14:solidFill>
          </w14:textFill>
        </w:rPr>
        <w:t>采联国际招标采购集团有限公司</w:t>
      </w:r>
    </w:p>
    <w:p>
      <w:pPr>
        <w:snapToGrid w:val="0"/>
        <w:spacing w:before="156" w:beforeLines="50"/>
        <w:jc w:val="center"/>
        <w:rPr>
          <w:rFonts w:ascii="仿宋" w:eastAsia="仿宋" w:hAnsi="仿宋"/>
          <w:b/>
          <w:color w:val="auto"/>
          <w:sz w:val="44"/>
          <w:szCs w:val="44"/>
        </w:rPr>
        <w:sectPr>
          <w:headerReference w:type="even" r:id="rId5"/>
          <w:headerReference w:type="default" r:id="rId6"/>
          <w:footerReference w:type="even" r:id="rId7"/>
          <w:headerReference w:type="first" r:id="rId8"/>
          <w:footerReference w:type="first" r:id="rId9"/>
          <w:pgSz w:w="11906" w:h="16838"/>
          <w:pgMar w:top="1440" w:right="1466" w:bottom="1440" w:left="1800" w:header="567" w:footer="992" w:gutter="0"/>
          <w:cols w:num="1" w:space="720"/>
          <w:docGrid w:type="linesAndChars" w:linePitch="312" w:charSpace="0"/>
        </w:sectPr>
      </w:pPr>
      <w:r>
        <w:rPr>
          <w:rFonts w:ascii="仿宋" w:eastAsia="仿宋" w:hAnsi="仿宋" w:hint="eastAsia"/>
          <w:b/>
          <w:color w:val="auto"/>
          <w:sz w:val="44"/>
          <w:szCs w:val="44"/>
        </w:rPr>
        <w:t>二○二二年</w:t>
      </w:r>
      <w:r>
        <w:rPr>
          <w:rFonts w:ascii="仿宋" w:eastAsia="仿宋" w:hAnsi="仿宋" w:hint="eastAsia"/>
          <w:b/>
          <w:color w:val="auto"/>
          <w:sz w:val="44"/>
          <w:szCs w:val="44"/>
          <w:lang w:val="en-US" w:eastAsia="zh-CN"/>
        </w:rPr>
        <w:t>十一</w:t>
      </w:r>
      <w:r>
        <w:rPr>
          <w:rFonts w:ascii="仿宋" w:eastAsia="仿宋" w:hAnsi="仿宋"/>
          <w:b/>
          <w:color w:val="auto"/>
          <w:sz w:val="44"/>
          <w:szCs w:val="44"/>
        </w:rPr>
        <w:t>月</w:t>
      </w:r>
    </w:p>
    <w:p>
      <w:pPr>
        <w:autoSpaceDE w:val="0"/>
        <w:autoSpaceDN w:val="0"/>
        <w:adjustRightInd w:val="0"/>
        <w:snapToGrid w:val="0"/>
        <w:spacing w:before="156" w:beforeLines="50" w:after="156" w:afterLines="50"/>
        <w:jc w:val="center"/>
        <w:rPr>
          <w:rFonts w:ascii="黑体" w:eastAsia="黑体" w:hAnsi="黑体"/>
          <w:b/>
          <w:sz w:val="44"/>
          <w:szCs w:val="44"/>
        </w:rPr>
      </w:pPr>
      <w:r>
        <w:rPr>
          <w:rFonts w:ascii="黑体" w:eastAsia="黑体" w:hAnsi="黑体" w:hint="eastAsia"/>
          <w:b/>
          <w:sz w:val="44"/>
          <w:szCs w:val="44"/>
        </w:rPr>
        <w:t>警示条款</w:t>
      </w:r>
    </w:p>
    <w:p>
      <w:pPr>
        <w:spacing w:line="360" w:lineRule="auto"/>
        <w:ind w:firstLine="420" w:firstLineChars="200"/>
        <w:rPr>
          <w:rFonts w:ascii="宋体" w:hAnsi="宋体"/>
          <w:sz w:val="24"/>
        </w:rPr>
      </w:pPr>
      <w:r>
        <w:rPr>
          <w:rFonts w:ascii="宋体" w:hAnsi="宋体" w:hint="eastAsia"/>
          <w:sz w:val="24"/>
        </w:rPr>
        <w:t>一、</w:t>
      </w:r>
      <w:r>
        <w:rPr>
          <w:rFonts w:ascii="宋体" w:hAnsi="宋体" w:hint="eastAsia"/>
          <w:b/>
          <w:bCs/>
          <w:sz w:val="24"/>
        </w:rPr>
        <w:t>《深圳经济特区政府采购条例》第五十七条</w:t>
      </w:r>
      <w:r>
        <w:rPr>
          <w:rFonts w:ascii="宋体" w:hAnsi="宋体" w:hint="eastAsia"/>
          <w:sz w:val="24"/>
        </w:rPr>
        <w:t xml:space="preserve"> 供应商在政府采购中，有下列行为之一的，一至三年内禁止其参与本市政府采购，并由主管部门记入供应商诚信档案，处以采购金额千分之十以上千分之二十以下的罚款；情节严重的，取消其参与本市政府采购资格，处以采购金额千分之二十以上千分之三十以下的罚款，并由市场监管部门依法吊销其营业执照；给他人造成损失的，依法承担赔偿责任；构成犯罪的，依法追究刑事责任：</w:t>
      </w:r>
    </w:p>
    <w:p>
      <w:pPr>
        <w:spacing w:line="360" w:lineRule="auto"/>
        <w:ind w:firstLine="420" w:firstLineChars="200"/>
        <w:rPr>
          <w:rFonts w:ascii="宋体" w:hAnsi="宋体"/>
          <w:sz w:val="24"/>
        </w:rPr>
      </w:pPr>
      <w:r>
        <w:rPr>
          <w:rFonts w:ascii="宋体" w:hAnsi="宋体" w:hint="eastAsia"/>
          <w:sz w:val="24"/>
        </w:rPr>
        <w:t>（一）在采购活动中应当回避而未回避的；</w:t>
      </w:r>
    </w:p>
    <w:p>
      <w:pPr>
        <w:spacing w:line="360" w:lineRule="auto"/>
        <w:ind w:firstLine="420" w:firstLineChars="200"/>
        <w:rPr>
          <w:rFonts w:ascii="宋体" w:hAnsi="宋体"/>
          <w:sz w:val="24"/>
        </w:rPr>
      </w:pPr>
      <w:r>
        <w:rPr>
          <w:rFonts w:ascii="宋体" w:hAnsi="宋体" w:hint="eastAsia"/>
          <w:sz w:val="24"/>
        </w:rPr>
        <w:t>（二）未按本条例规定签订、履行采购合同，造成严重后果的；</w:t>
      </w:r>
    </w:p>
    <w:p>
      <w:pPr>
        <w:spacing w:line="360" w:lineRule="auto"/>
        <w:ind w:firstLine="420" w:firstLineChars="200"/>
        <w:rPr>
          <w:rFonts w:ascii="宋体" w:hAnsi="宋体"/>
          <w:sz w:val="24"/>
        </w:rPr>
      </w:pPr>
      <w:r>
        <w:rPr>
          <w:rFonts w:ascii="宋体" w:hAnsi="宋体" w:hint="eastAsia"/>
          <w:sz w:val="24"/>
        </w:rPr>
        <w:t>（三）隐瞒真实情况，提供虚假资料的；</w:t>
      </w:r>
    </w:p>
    <w:p>
      <w:pPr>
        <w:spacing w:line="360" w:lineRule="auto"/>
        <w:ind w:firstLine="420" w:firstLineChars="200"/>
        <w:rPr>
          <w:rFonts w:ascii="宋体" w:hAnsi="宋体"/>
          <w:sz w:val="24"/>
        </w:rPr>
      </w:pPr>
      <w:r>
        <w:rPr>
          <w:rFonts w:ascii="宋体" w:hAnsi="宋体" w:hint="eastAsia"/>
          <w:sz w:val="24"/>
        </w:rPr>
        <w:t>（四）以非法手段排斥其他供应商参与竞争的；</w:t>
      </w:r>
    </w:p>
    <w:p>
      <w:pPr>
        <w:spacing w:line="360" w:lineRule="auto"/>
        <w:ind w:firstLine="420" w:firstLineChars="200"/>
        <w:rPr>
          <w:rFonts w:ascii="宋体" w:hAnsi="宋体"/>
          <w:sz w:val="24"/>
        </w:rPr>
      </w:pPr>
      <w:r>
        <w:rPr>
          <w:rFonts w:ascii="宋体" w:hAnsi="宋体" w:hint="eastAsia"/>
          <w:sz w:val="24"/>
        </w:rPr>
        <w:t>（五）与其他采购参加人串通投标的；</w:t>
      </w:r>
    </w:p>
    <w:p>
      <w:pPr>
        <w:spacing w:line="360" w:lineRule="auto"/>
        <w:ind w:firstLine="420" w:firstLineChars="200"/>
        <w:rPr>
          <w:rFonts w:ascii="宋体" w:hAnsi="宋体"/>
          <w:sz w:val="24"/>
        </w:rPr>
      </w:pPr>
      <w:r>
        <w:rPr>
          <w:rFonts w:ascii="宋体" w:hAnsi="宋体" w:hint="eastAsia"/>
          <w:sz w:val="24"/>
        </w:rPr>
        <w:t>（六）恶意投诉的；</w:t>
      </w:r>
    </w:p>
    <w:p>
      <w:pPr>
        <w:spacing w:line="360" w:lineRule="auto"/>
        <w:ind w:firstLine="420" w:firstLineChars="200"/>
        <w:rPr>
          <w:rFonts w:ascii="宋体" w:hAnsi="宋体"/>
          <w:sz w:val="24"/>
        </w:rPr>
      </w:pPr>
      <w:r>
        <w:rPr>
          <w:rFonts w:ascii="宋体" w:hAnsi="宋体" w:hint="eastAsia"/>
          <w:sz w:val="24"/>
        </w:rPr>
        <w:t>（七）向采购项目相关人行贿或者提供其他不当利益的；</w:t>
      </w:r>
    </w:p>
    <w:p>
      <w:pPr>
        <w:spacing w:line="360" w:lineRule="auto"/>
        <w:ind w:firstLine="420" w:firstLineChars="200"/>
        <w:rPr>
          <w:rFonts w:ascii="宋体" w:hAnsi="宋体"/>
          <w:sz w:val="24"/>
        </w:rPr>
      </w:pPr>
      <w:r>
        <w:rPr>
          <w:rFonts w:ascii="宋体" w:hAnsi="宋体" w:hint="eastAsia"/>
          <w:sz w:val="24"/>
        </w:rPr>
        <w:t>（八）阻碍、抗拒主管部门监督检查的；</w:t>
      </w:r>
    </w:p>
    <w:p>
      <w:pPr>
        <w:spacing w:line="360" w:lineRule="auto"/>
        <w:ind w:firstLine="420" w:firstLineChars="200"/>
        <w:rPr>
          <w:rFonts w:ascii="宋体" w:hAnsi="宋体"/>
          <w:sz w:val="24"/>
        </w:rPr>
      </w:pPr>
      <w:r>
        <w:rPr>
          <w:rFonts w:ascii="宋体" w:hAnsi="宋体" w:hint="eastAsia"/>
          <w:sz w:val="24"/>
        </w:rPr>
        <w:t>（九）其他违反本条例规定的行为。</w:t>
      </w:r>
    </w:p>
    <w:p>
      <w:pPr>
        <w:spacing w:line="360" w:lineRule="auto"/>
        <w:ind w:firstLine="420" w:firstLineChars="200"/>
        <w:rPr>
          <w:rFonts w:ascii="宋体" w:hAnsi="宋体"/>
          <w:sz w:val="24"/>
        </w:rPr>
      </w:pPr>
      <w:r>
        <w:rPr>
          <w:rFonts w:ascii="宋体" w:hAnsi="宋体" w:hint="eastAsia"/>
          <w:b/>
          <w:bCs/>
          <w:sz w:val="24"/>
        </w:rPr>
        <w:t>二、《深圳经济特区政府采购条例实施细则》第七十九条 </w:t>
      </w:r>
      <w:r>
        <w:rPr>
          <w:rFonts w:ascii="宋体" w:hAnsi="宋体" w:hint="eastAsia"/>
          <w:sz w:val="24"/>
        </w:rPr>
        <w:t>供应商有下列情形的，属于采购条例所称的串通投标行为，按照采购条例第五十七条有关规定处理：（一）投标供应商之间相互约定给予未中标的供应商利益补偿；（二）不同投标供应商的法定代表人、主要经营负责人、项目投标授权代表人、项目负责人、主要技术人员为同一人、属同一单位或者在同一单位缴纳社会保险；（三）不同投标供应商的投标文件由同一单位或者同一人编制，或者由同一人分阶段参与编制的；（四）不同投标供应商的投标文件或部分投标文件相互混装；（五）不同投标供应商的投标文件内容存在非正常一致；（六）由同一单位工作人员为两家以上（含两家）供应商进行同一项投标活动的；（七）主管部门依照法律、法规认定的其他情形。</w:t>
      </w:r>
    </w:p>
    <w:p>
      <w:pPr>
        <w:spacing w:line="360" w:lineRule="auto"/>
        <w:ind w:firstLine="420" w:firstLineChars="200"/>
        <w:rPr>
          <w:rFonts w:ascii="宋体" w:hAnsi="宋体"/>
          <w:sz w:val="24"/>
        </w:rPr>
      </w:pPr>
      <w:r>
        <w:rPr>
          <w:rFonts w:ascii="宋体" w:hAnsi="宋体" w:hint="eastAsia"/>
          <w:b/>
          <w:bCs/>
          <w:sz w:val="24"/>
        </w:rPr>
        <w:t>三、《深圳经济特区政府采购条例实施细则》第八十一条 </w:t>
      </w:r>
      <w:r>
        <w:rPr>
          <w:rFonts w:ascii="宋体" w:hAnsi="宋体" w:hint="eastAsia"/>
          <w:sz w:val="24"/>
        </w:rPr>
        <w:t>供应商有下列情形之一的，属于隐瞒真实情况，提供虚假资料，按照采购条例第五十七的有关规定处理：（一）通过转让或者租借等方式从其他单位获取资格或者资质证书投标的；（二）由其他单位或者其他单位负责人在投标供应商编制的投标文件上加盖印章或者签字的；（三）项目负责人或者主要技术人员不是本单位人员的；（四）投标保证金不是从投标供应商基本账户转出的；（五）其他隐瞒真实情况、提供虚假资料的行为。</w:t>
      </w:r>
    </w:p>
    <w:p>
      <w:pPr>
        <w:spacing w:line="360" w:lineRule="auto"/>
        <w:ind w:firstLine="420" w:firstLineChars="200"/>
        <w:rPr>
          <w:rFonts w:ascii="宋体" w:hAnsi="宋体"/>
          <w:sz w:val="24"/>
          <w:highlight w:val="none"/>
        </w:rPr>
      </w:pPr>
      <w:r>
        <w:rPr>
          <w:rFonts w:ascii="宋体" w:hAnsi="宋体" w:hint="eastAsia"/>
          <w:sz w:val="24"/>
        </w:rPr>
        <w:t>投标供应</w:t>
      </w:r>
      <w:r>
        <w:rPr>
          <w:rFonts w:ascii="宋体" w:hAnsi="宋体" w:hint="eastAsia"/>
          <w:sz w:val="24"/>
          <w:highlight w:val="none"/>
        </w:rPr>
        <w:t>商不能提供项目负责人或者主要技术人员的劳动合同、社会保险等劳动关系证明材料的，视为存在前款第（三）项规定的情形。</w:t>
      </w:r>
    </w:p>
    <w:p>
      <w:pPr>
        <w:spacing w:line="360" w:lineRule="auto"/>
        <w:ind w:firstLine="420" w:firstLineChars="200"/>
        <w:rPr>
          <w:rFonts w:ascii="宋体" w:hAnsi="宋体"/>
          <w:sz w:val="24"/>
          <w:highlight w:val="none"/>
        </w:rPr>
      </w:pPr>
      <w:r>
        <w:rPr>
          <w:rFonts w:ascii="宋体" w:hAnsi="宋体" w:hint="eastAsia"/>
          <w:sz w:val="24"/>
          <w:highlight w:val="none"/>
        </w:rPr>
        <w:t>四、请投标供应商阅读</w:t>
      </w:r>
      <w:r>
        <w:rPr>
          <w:rFonts w:ascii="宋体" w:hAnsi="宋体" w:hint="eastAsia"/>
          <w:b/>
          <w:bCs/>
          <w:sz w:val="24"/>
          <w:highlight w:val="none"/>
        </w:rPr>
        <w:t>《政府采购违法行为风险知悉确认书》</w:t>
      </w:r>
      <w:r>
        <w:rPr>
          <w:rFonts w:ascii="宋体" w:hAnsi="宋体" w:hint="eastAsia"/>
          <w:sz w:val="24"/>
          <w:highlight w:val="none"/>
        </w:rPr>
        <w:t>（内容详见“第六章投标文件格式（信息不公开部分）”，并经各投标供应商负责人或投标授权代表签字并加盖投标人公章后，扫描上传至投标文件一并提交。</w:t>
      </w:r>
    </w:p>
    <w:p>
      <w:pPr>
        <w:spacing w:line="360" w:lineRule="auto"/>
        <w:ind w:firstLine="420" w:firstLineChars="200"/>
        <w:rPr>
          <w:rFonts w:ascii="宋体" w:hAnsi="宋体"/>
          <w:sz w:val="24"/>
          <w:highlight w:val="none"/>
        </w:rPr>
      </w:pPr>
      <w:r>
        <w:rPr>
          <w:rFonts w:ascii="宋体" w:hAnsi="宋体" w:hint="eastAsia"/>
          <w:sz w:val="24"/>
          <w:highlight w:val="none"/>
        </w:rPr>
        <w:t>注：该风险知悉确认书用于对供应商违法行为的警示，不作为供应商资格性审查及符合性审查条件。</w:t>
      </w:r>
    </w:p>
    <w:p>
      <w:pPr>
        <w:widowControl/>
        <w:spacing w:line="360" w:lineRule="auto"/>
        <w:ind w:firstLine="420" w:firstLineChars="200"/>
        <w:jc w:val="left"/>
        <w:rPr>
          <w:rFonts w:ascii="宋体" w:hAnsi="宋体"/>
          <w:b/>
          <w:sz w:val="24"/>
          <w:highlight w:val="none"/>
        </w:rPr>
      </w:pPr>
    </w:p>
    <w:p>
      <w:pPr>
        <w:rPr>
          <w:rFonts w:ascii="黑体" w:eastAsia="黑体" w:hAnsi="黑体"/>
          <w:b/>
          <w:sz w:val="44"/>
          <w:szCs w:val="44"/>
          <w:highlight w:val="none"/>
        </w:rPr>
      </w:pPr>
      <w:r>
        <w:rPr>
          <w:rFonts w:ascii="黑体" w:eastAsia="黑体" w:hAnsi="黑体" w:hint="eastAsia"/>
          <w:b/>
          <w:sz w:val="44"/>
          <w:szCs w:val="44"/>
          <w:highlight w:val="none"/>
        </w:rPr>
        <w:br w:type="page"/>
      </w:r>
    </w:p>
    <w:p>
      <w:pPr>
        <w:autoSpaceDE w:val="0"/>
        <w:autoSpaceDN w:val="0"/>
        <w:adjustRightInd w:val="0"/>
        <w:snapToGrid w:val="0"/>
        <w:spacing w:before="156" w:beforeLines="50" w:after="156" w:afterLines="50"/>
        <w:jc w:val="center"/>
        <w:rPr>
          <w:rFonts w:ascii="黑体" w:eastAsia="黑体" w:hAnsi="黑体"/>
          <w:b/>
          <w:sz w:val="44"/>
          <w:szCs w:val="44"/>
        </w:rPr>
      </w:pPr>
      <w:r>
        <w:rPr>
          <w:rFonts w:ascii="黑体" w:eastAsia="黑体" w:hAnsi="黑体" w:hint="eastAsia"/>
          <w:b/>
          <w:sz w:val="44"/>
          <w:szCs w:val="44"/>
        </w:rPr>
        <w:t>温馨提示</w:t>
      </w:r>
    </w:p>
    <w:p>
      <w:pPr>
        <w:numPr>
          <w:ilvl w:val="0"/>
          <w:numId w:val="1"/>
        </w:numPr>
        <w:tabs>
          <w:tab w:val="left" w:pos="709"/>
        </w:tabs>
        <w:spacing w:line="360" w:lineRule="auto"/>
        <w:ind w:left="700" w:hanging="700"/>
        <w:rPr>
          <w:rFonts w:ascii="宋体" w:hAnsi="宋体"/>
          <w:sz w:val="24"/>
        </w:rPr>
      </w:pPr>
      <w:r>
        <w:rPr>
          <w:rFonts w:ascii="宋体" w:hAnsi="宋体" w:hint="eastAsia"/>
          <w:sz w:val="24"/>
        </w:rPr>
        <w:t>投标文件应按顺序</w:t>
      </w:r>
      <w:r>
        <w:rPr>
          <w:rFonts w:ascii="宋体" w:hAnsi="宋体" w:hint="eastAsia"/>
          <w:b/>
          <w:sz w:val="24"/>
        </w:rPr>
        <w:t>编制页码</w:t>
      </w:r>
      <w:r>
        <w:rPr>
          <w:rFonts w:ascii="宋体" w:hAnsi="宋体" w:hint="eastAsia"/>
          <w:sz w:val="24"/>
        </w:rPr>
        <w:t>。</w:t>
      </w:r>
    </w:p>
    <w:p>
      <w:pPr>
        <w:numPr>
          <w:ilvl w:val="0"/>
          <w:numId w:val="1"/>
        </w:numPr>
        <w:tabs>
          <w:tab w:val="left" w:pos="709"/>
        </w:tabs>
        <w:spacing w:line="360" w:lineRule="auto"/>
        <w:ind w:left="700" w:hanging="700"/>
        <w:rPr>
          <w:rFonts w:ascii="宋体" w:hAnsi="宋体"/>
          <w:sz w:val="24"/>
        </w:rPr>
      </w:pPr>
      <w:r>
        <w:rPr>
          <w:rFonts w:ascii="宋体" w:hAnsi="宋体" w:hint="eastAsia"/>
          <w:sz w:val="24"/>
        </w:rPr>
        <w:t>请仔细检查投标文件是否已按招标文件要求</w:t>
      </w:r>
      <w:r>
        <w:rPr>
          <w:rFonts w:ascii="宋体" w:hAnsi="宋体" w:hint="eastAsia"/>
          <w:b/>
          <w:sz w:val="24"/>
        </w:rPr>
        <w:t>填写、签署日期</w:t>
      </w:r>
      <w:r>
        <w:rPr>
          <w:rFonts w:ascii="宋体" w:hAnsi="宋体" w:hint="eastAsia"/>
          <w:sz w:val="24"/>
        </w:rPr>
        <w:t>。</w:t>
      </w:r>
    </w:p>
    <w:p>
      <w:pPr>
        <w:numPr>
          <w:ilvl w:val="0"/>
          <w:numId w:val="1"/>
        </w:numPr>
        <w:tabs>
          <w:tab w:val="left" w:pos="709"/>
        </w:tabs>
        <w:spacing w:line="360" w:lineRule="auto"/>
        <w:ind w:left="700" w:hanging="700"/>
        <w:rPr>
          <w:rFonts w:ascii="宋体" w:hAnsi="宋体"/>
          <w:sz w:val="24"/>
        </w:rPr>
      </w:pPr>
      <w:r>
        <w:rPr>
          <w:rFonts w:ascii="宋体" w:hAnsi="宋体" w:hint="eastAsia"/>
          <w:sz w:val="24"/>
        </w:rPr>
        <w:t>请正确填写《开标一览表（报价表）》、《投标分项报价表》(如有)。多包组项目请仔细检查包组号，包组号与包组采购内容必须对应。</w:t>
      </w:r>
    </w:p>
    <w:p>
      <w:pPr>
        <w:numPr>
          <w:ilvl w:val="0"/>
          <w:numId w:val="1"/>
        </w:numPr>
        <w:tabs>
          <w:tab w:val="left" w:pos="709"/>
        </w:tabs>
        <w:spacing w:line="360" w:lineRule="auto"/>
        <w:ind w:left="700" w:hanging="700"/>
        <w:rPr>
          <w:rFonts w:ascii="宋体" w:hAnsi="宋体"/>
          <w:sz w:val="24"/>
        </w:rPr>
      </w:pPr>
      <w:r>
        <w:rPr>
          <w:rFonts w:ascii="宋体" w:hAnsi="宋体" w:hint="eastAsia"/>
          <w:sz w:val="24"/>
        </w:rPr>
        <w:t>如投标产品属于许可证管理范围内的，须提交相应的许可证扫描件。</w:t>
      </w:r>
    </w:p>
    <w:p>
      <w:pPr>
        <w:numPr>
          <w:ilvl w:val="0"/>
          <w:numId w:val="1"/>
        </w:numPr>
        <w:tabs>
          <w:tab w:val="left" w:pos="709"/>
        </w:tabs>
        <w:spacing w:line="360" w:lineRule="auto"/>
        <w:ind w:left="700" w:hanging="700"/>
        <w:rPr>
          <w:rFonts w:ascii="宋体" w:hAnsi="宋体"/>
          <w:color w:val="auto"/>
          <w:sz w:val="24"/>
        </w:rPr>
      </w:pPr>
      <w:r>
        <w:rPr>
          <w:rFonts w:ascii="宋体" w:hAnsi="宋体" w:cs="宋体" w:hint="eastAsia"/>
          <w:sz w:val="24"/>
        </w:rPr>
        <w:t>分支机构投标，须取得</w:t>
      </w:r>
      <w:r>
        <w:rPr>
          <w:rFonts w:ascii="宋体" w:hAnsi="宋体" w:cs="黑体" w:hint="eastAsia"/>
          <w:sz w:val="24"/>
        </w:rPr>
        <w:t>具有法人资格的总公司</w:t>
      </w:r>
      <w:r>
        <w:rPr>
          <w:rStyle w:val="p141"/>
          <w:rFonts w:ascii="宋体" w:hAnsi="宋体" w:hint="eastAsia"/>
          <w:sz w:val="24"/>
          <w:szCs w:val="24"/>
        </w:rPr>
        <w:t>（总所）</w:t>
      </w:r>
      <w:r>
        <w:rPr>
          <w:rFonts w:ascii="宋体" w:hAnsi="宋体" w:cs="黑体" w:hint="eastAsia"/>
          <w:sz w:val="24"/>
        </w:rPr>
        <w:t>出具给分支机构的授权书，并提供总公司</w:t>
      </w:r>
      <w:r>
        <w:rPr>
          <w:rStyle w:val="p141"/>
          <w:rFonts w:ascii="宋体" w:hAnsi="宋体" w:hint="eastAsia"/>
          <w:sz w:val="24"/>
          <w:szCs w:val="24"/>
        </w:rPr>
        <w:t>（总所）</w:t>
      </w:r>
      <w:r>
        <w:rPr>
          <w:rFonts w:ascii="宋体" w:hAnsi="宋体" w:cs="黑体" w:hint="eastAsia"/>
          <w:sz w:val="24"/>
        </w:rPr>
        <w:t>和分支机构的营业执照（执业许可证）扫描件。</w:t>
      </w:r>
      <w:r>
        <w:rPr>
          <w:rStyle w:val="p141"/>
          <w:rFonts w:ascii="宋体" w:hAnsi="宋体" w:hint="eastAsia"/>
          <w:sz w:val="24"/>
          <w:szCs w:val="24"/>
        </w:rPr>
        <w:t>已由总公司（总所）授权的，总公司（总所）取得的相关资</w:t>
      </w:r>
      <w:r>
        <w:rPr>
          <w:rStyle w:val="p141"/>
          <w:rFonts w:ascii="宋体" w:hAnsi="宋体" w:hint="eastAsia"/>
          <w:sz w:val="24"/>
          <w:szCs w:val="24"/>
          <w:highlight w:val="white"/>
        </w:rPr>
        <w:t>质证书对分支机构有效，法律法规</w:t>
      </w:r>
      <w:r>
        <w:rPr>
          <w:rStyle w:val="p141"/>
          <w:rFonts w:ascii="宋体" w:hAnsi="宋体" w:hint="eastAsia"/>
          <w:color w:val="auto"/>
          <w:sz w:val="24"/>
          <w:szCs w:val="24"/>
          <w:highlight w:val="white"/>
        </w:rPr>
        <w:t>或者行业另有规定的除外</w:t>
      </w:r>
      <w:r>
        <w:rPr>
          <w:rStyle w:val="p141"/>
          <w:rFonts w:ascii="宋体" w:hAnsi="宋体" w:hint="eastAsia"/>
          <w:color w:val="auto"/>
          <w:sz w:val="24"/>
          <w:szCs w:val="24"/>
        </w:rPr>
        <w:t>。</w:t>
      </w:r>
    </w:p>
    <w:p>
      <w:pPr>
        <w:numPr>
          <w:ilvl w:val="0"/>
          <w:numId w:val="1"/>
        </w:numPr>
        <w:tabs>
          <w:tab w:val="left" w:pos="709"/>
        </w:tabs>
        <w:adjustRightInd w:val="0"/>
        <w:snapToGrid w:val="0"/>
        <w:spacing w:line="360" w:lineRule="auto"/>
        <w:ind w:left="700" w:hanging="700"/>
        <w:rPr>
          <w:rFonts w:ascii="宋体" w:hAnsi="宋体"/>
          <w:color w:val="auto"/>
          <w:sz w:val="24"/>
        </w:rPr>
      </w:pPr>
      <w:r>
        <w:rPr>
          <w:rFonts w:ascii="宋体" w:hAnsi="宋体" w:hint="eastAsia"/>
          <w:color w:val="auto"/>
          <w:sz w:val="24"/>
        </w:rPr>
        <w:t>投标人如需对项目提出询问或质疑，应按招标文件附件中的询问函和质疑函的格式提交。关于疫情期间政府采购供应商提起质疑、询问，我司答复质疑、询问原则上采用邮寄方式提交的相关说明。</w:t>
      </w:r>
    </w:p>
    <w:p>
      <w:pPr>
        <w:numPr>
          <w:ilvl w:val="0"/>
          <w:numId w:val="1"/>
        </w:numPr>
        <w:tabs>
          <w:tab w:val="left" w:pos="709"/>
        </w:tabs>
        <w:adjustRightInd w:val="0"/>
        <w:snapToGrid w:val="0"/>
        <w:spacing w:line="360" w:lineRule="auto"/>
        <w:ind w:left="700" w:hanging="700"/>
        <w:rPr>
          <w:rFonts w:ascii="宋体" w:hAnsi="宋体"/>
          <w:sz w:val="24"/>
        </w:rPr>
      </w:pPr>
      <w:r>
        <w:rPr>
          <w:rFonts w:ascii="宋体" w:hAnsi="宋体" w:hint="eastAsia"/>
          <w:color w:val="auto"/>
          <w:sz w:val="24"/>
        </w:rPr>
        <w:t>为缓解中小企业融资难题，深圳市推出政府采购订单融资改革举措。订单融资具体流程及试点</w:t>
      </w:r>
      <w:r>
        <w:rPr>
          <w:rFonts w:ascii="宋体" w:hAnsi="宋体" w:hint="eastAsia"/>
          <w:sz w:val="24"/>
        </w:rPr>
        <w:t>金融机构订单融资服务承诺可参阅深圳市政府采购监管网（zfcg.sz.gov.cn）信息公开栏目或深圳政府采购网（cgzx.sz.gov.cn）政府采购订单融资栏目。</w:t>
      </w:r>
    </w:p>
    <w:p>
      <w:pPr>
        <w:numPr>
          <w:ilvl w:val="0"/>
          <w:numId w:val="1"/>
        </w:numPr>
        <w:tabs>
          <w:tab w:val="left" w:pos="709"/>
        </w:tabs>
        <w:spacing w:line="360" w:lineRule="auto"/>
        <w:ind w:left="700" w:hanging="700"/>
        <w:rPr>
          <w:rFonts w:ascii="宋体" w:hAnsi="宋体"/>
          <w:color w:val="00B0F0"/>
          <w:sz w:val="24"/>
        </w:rPr>
      </w:pPr>
      <w:r>
        <w:rPr>
          <w:rFonts w:ascii="宋体" w:hAnsi="宋体" w:hint="eastAsia"/>
          <w:sz w:val="24"/>
        </w:rPr>
        <w:t>上述提示内容非招标文件的组成部分，仅为善意提醒。如有不一致的地方，以招标文件为准。</w:t>
      </w:r>
    </w:p>
    <w:p>
      <w:pPr>
        <w:spacing w:line="360" w:lineRule="auto"/>
        <w:jc w:val="center"/>
        <w:rPr>
          <w:rFonts w:ascii="宋体" w:hAnsi="宋体"/>
          <w:b/>
          <w:sz w:val="24"/>
        </w:rPr>
      </w:pPr>
      <w:r>
        <w:rPr>
          <w:rFonts w:ascii="宋体" w:hAnsi="宋体"/>
          <w:sz w:val="24"/>
        </w:rPr>
        <w:br w:type="page"/>
      </w:r>
      <w:bookmarkStart w:id="1" w:name="_Toc435115363"/>
      <w:bookmarkStart w:id="2" w:name="_Toc292267790"/>
      <w:bookmarkStart w:id="3" w:name="_Toc435114676"/>
      <w:bookmarkStart w:id="4" w:name="_Toc435115051"/>
    </w:p>
    <w:p>
      <w:pPr>
        <w:spacing w:line="360" w:lineRule="auto"/>
        <w:jc w:val="center"/>
        <w:rPr>
          <w:rFonts w:ascii="宋体" w:hAnsi="宋体"/>
          <w:b/>
          <w:sz w:val="44"/>
          <w:szCs w:val="44"/>
        </w:rPr>
      </w:pPr>
      <w:r>
        <w:rPr>
          <w:rFonts w:ascii="宋体" w:hAnsi="宋体" w:hint="eastAsia"/>
          <w:b/>
          <w:sz w:val="44"/>
          <w:szCs w:val="44"/>
        </w:rPr>
        <w:t>目   录</w:t>
      </w:r>
    </w:p>
    <w:p>
      <w:pPr>
        <w:pStyle w:val="TOC1"/>
        <w:tabs>
          <w:tab w:val="right" w:leader="dot" w:pos="9170"/>
        </w:tabs>
        <w:rPr>
          <w:rFonts w:asciiTheme="minorHAnsi" w:hAnsiTheme="minorHAnsi"/>
          <w:noProof/>
          <w:sz w:val="22"/>
        </w:rPr>
      </w:pPr>
      <w:bookmarkEnd w:id="1"/>
      <w:bookmarkEnd w:id="2"/>
      <w:bookmarkEnd w:id="3"/>
      <w:bookmarkStart w:id="5" w:name="_Toc435514842"/>
      <w:r>
        <w:rPr>
          <w:rFonts w:asciiTheme="minorEastAsia" w:eastAsiaTheme="minorEastAsia" w:hAnsiTheme="minorEastAsia"/>
          <w:bCs w:val="0"/>
          <w:caps w:val="0"/>
          <w:sz w:val="52"/>
          <w:szCs w:val="52"/>
        </w:rPr>
        <w:fldChar w:fldCharType="begin"/>
      </w:r>
      <w:r>
        <w:rPr>
          <w:rFonts w:asciiTheme="minorEastAsia" w:eastAsiaTheme="minorEastAsia" w:hAnsiTheme="minorEastAsia"/>
          <w:bCs w:val="0"/>
          <w:caps w:val="0"/>
          <w:sz w:val="52"/>
          <w:szCs w:val="52"/>
        </w:rPr>
        <w:instrText xml:space="preserve"> TOC \o "1-3" \h \z \u </w:instrText>
      </w:r>
      <w:r>
        <w:rPr>
          <w:rFonts w:asciiTheme="minorEastAsia" w:eastAsiaTheme="minorEastAsia" w:hAnsiTheme="minorEastAsia"/>
          <w:bCs w:val="0"/>
          <w:caps w:val="0"/>
          <w:sz w:val="52"/>
          <w:szCs w:val="52"/>
        </w:rPr>
        <w:fldChar w:fldCharType="separate"/>
      </w:r>
      <w:r>
        <w:fldChar w:fldCharType="begin"/>
      </w:r>
      <w:r>
        <w:rPr>
          <w:rStyle w:val="Hyperlink"/>
        </w:rPr>
        <w:instrText xml:space="preserve"> HYPERLINK \l "_Toc256000000" </w:instrText>
      </w:r>
      <w:r>
        <w:fldChar w:fldCharType="separate"/>
      </w:r>
      <w:r>
        <w:rPr>
          <w:rStyle w:val="Hyperlink"/>
          <w:rFonts w:hint="eastAsia"/>
        </w:rPr>
        <w:t>第一</w:t>
      </w:r>
      <w:r>
        <w:rPr>
          <w:rStyle w:val="Hyperlink"/>
        </w:rPr>
        <w:t>章</w:t>
      </w:r>
      <w:r>
        <w:rPr>
          <w:rStyle w:val="Hyperlink"/>
          <w:rFonts w:hint="eastAsia"/>
        </w:rPr>
        <w:t xml:space="preserve"> </w:t>
      </w:r>
      <w:r>
        <w:rPr>
          <w:rStyle w:val="Hyperlink"/>
        </w:rPr>
        <w:t>投标邀请</w:t>
      </w:r>
      <w:r>
        <w:rPr>
          <w:rStyle w:val="Hyperlink"/>
        </w:rPr>
        <w:tab/>
      </w:r>
      <w:r>
        <w:fldChar w:fldCharType="begin"/>
      </w:r>
      <w:r>
        <w:rPr>
          <w:rStyle w:val="Hyperlink"/>
        </w:rPr>
        <w:instrText xml:space="preserve"> PAGEREF _Toc256000000 \h </w:instrText>
      </w:r>
      <w:r>
        <w:fldChar w:fldCharType="separate"/>
      </w:r>
      <w:r>
        <w:rPr>
          <w:rStyle w:val="Hyperlink"/>
        </w:rPr>
        <w:t>6</w:t>
      </w:r>
      <w:r>
        <w:fldChar w:fldCharType="end"/>
      </w:r>
      <w:r>
        <w:fldChar w:fldCharType="end"/>
      </w:r>
    </w:p>
    <w:p>
      <w:pPr>
        <w:pStyle w:val="TOC2"/>
        <w:tabs>
          <w:tab w:val="right" w:leader="dot" w:pos="9170"/>
        </w:tabs>
        <w:rPr>
          <w:rFonts w:asciiTheme="minorHAnsi" w:hAnsiTheme="minorHAnsi"/>
          <w:noProof/>
          <w:sz w:val="22"/>
        </w:rPr>
      </w:pPr>
      <w:r>
        <w:fldChar w:fldCharType="begin"/>
      </w:r>
      <w:r>
        <w:rPr>
          <w:rStyle w:val="Hyperlink"/>
        </w:rPr>
        <w:instrText xml:space="preserve"> HYPERLINK \l "_Toc256000001" </w:instrText>
      </w:r>
      <w:r>
        <w:fldChar w:fldCharType="separate"/>
      </w:r>
      <w:r>
        <w:rPr>
          <w:rStyle w:val="Hyperlink"/>
          <w:rFonts w:asciiTheme="minorEastAsia" w:eastAsiaTheme="minorEastAsia" w:hAnsiTheme="minorEastAsia" w:cs="宋体" w:hint="eastAsia"/>
        </w:rPr>
        <w:t>一、项目基本情况</w:t>
      </w:r>
      <w:r>
        <w:rPr>
          <w:rStyle w:val="Hyperlink"/>
        </w:rPr>
        <w:tab/>
      </w:r>
      <w:r>
        <w:fldChar w:fldCharType="begin"/>
      </w:r>
      <w:r>
        <w:rPr>
          <w:rStyle w:val="Hyperlink"/>
        </w:rPr>
        <w:instrText xml:space="preserve"> PAGEREF _Toc256000001 \h </w:instrText>
      </w:r>
      <w:r>
        <w:fldChar w:fldCharType="separate"/>
      </w:r>
      <w:r>
        <w:rPr>
          <w:rStyle w:val="Hyperlink"/>
        </w:rPr>
        <w:t>7</w:t>
      </w:r>
      <w:r>
        <w:fldChar w:fldCharType="end"/>
      </w:r>
      <w:r>
        <w:fldChar w:fldCharType="end"/>
      </w:r>
    </w:p>
    <w:p>
      <w:pPr>
        <w:pStyle w:val="TOC2"/>
        <w:tabs>
          <w:tab w:val="right" w:leader="dot" w:pos="9170"/>
        </w:tabs>
        <w:rPr>
          <w:rFonts w:asciiTheme="minorHAnsi" w:hAnsiTheme="minorHAnsi"/>
          <w:noProof/>
          <w:sz w:val="22"/>
        </w:rPr>
      </w:pPr>
      <w:r>
        <w:fldChar w:fldCharType="begin"/>
      </w:r>
      <w:r>
        <w:rPr>
          <w:rStyle w:val="Hyperlink"/>
        </w:rPr>
        <w:instrText xml:space="preserve"> HYPERLINK \l "_Toc256000002" </w:instrText>
      </w:r>
      <w:r>
        <w:fldChar w:fldCharType="separate"/>
      </w:r>
      <w:r>
        <w:rPr>
          <w:rStyle w:val="Hyperlink"/>
          <w:rFonts w:asciiTheme="minorEastAsia" w:eastAsiaTheme="minorEastAsia" w:hAnsiTheme="minorEastAsia" w:cs="宋体" w:hint="eastAsia"/>
        </w:rPr>
        <w:t>二、供应商的资格要求</w:t>
      </w:r>
      <w:r>
        <w:rPr>
          <w:rStyle w:val="Hyperlink"/>
        </w:rPr>
        <w:tab/>
      </w:r>
      <w:r>
        <w:fldChar w:fldCharType="begin"/>
      </w:r>
      <w:r>
        <w:rPr>
          <w:rStyle w:val="Hyperlink"/>
        </w:rPr>
        <w:instrText xml:space="preserve"> PAGEREF _Toc256000002 \h </w:instrText>
      </w:r>
      <w:r>
        <w:fldChar w:fldCharType="separate"/>
      </w:r>
      <w:r>
        <w:rPr>
          <w:rStyle w:val="Hyperlink"/>
        </w:rPr>
        <w:t>7</w:t>
      </w:r>
      <w:r>
        <w:fldChar w:fldCharType="end"/>
      </w:r>
      <w:r>
        <w:fldChar w:fldCharType="end"/>
      </w:r>
    </w:p>
    <w:p>
      <w:pPr>
        <w:pStyle w:val="TOC2"/>
        <w:tabs>
          <w:tab w:val="right" w:leader="dot" w:pos="9170"/>
        </w:tabs>
        <w:rPr>
          <w:rFonts w:asciiTheme="minorHAnsi" w:hAnsiTheme="minorHAnsi"/>
          <w:noProof/>
          <w:sz w:val="22"/>
        </w:rPr>
      </w:pPr>
      <w:r>
        <w:fldChar w:fldCharType="begin"/>
      </w:r>
      <w:r>
        <w:rPr>
          <w:rStyle w:val="Hyperlink"/>
        </w:rPr>
        <w:instrText xml:space="preserve"> HYPERLINK \l "_Toc256000003" </w:instrText>
      </w:r>
      <w:r>
        <w:fldChar w:fldCharType="separate"/>
      </w:r>
      <w:r>
        <w:rPr>
          <w:rStyle w:val="Hyperlink"/>
          <w:rFonts w:asciiTheme="minorEastAsia" w:eastAsiaTheme="minorEastAsia" w:hAnsiTheme="minorEastAsia" w:cs="宋体" w:hint="eastAsia"/>
        </w:rPr>
        <w:t>三、获取招标文件</w:t>
      </w:r>
      <w:r>
        <w:rPr>
          <w:rStyle w:val="Hyperlink"/>
        </w:rPr>
        <w:tab/>
      </w:r>
      <w:r>
        <w:fldChar w:fldCharType="begin"/>
      </w:r>
      <w:r>
        <w:rPr>
          <w:rStyle w:val="Hyperlink"/>
        </w:rPr>
        <w:instrText xml:space="preserve"> PAGEREF _Toc256000003 \h </w:instrText>
      </w:r>
      <w:r>
        <w:fldChar w:fldCharType="separate"/>
      </w:r>
      <w:r>
        <w:rPr>
          <w:rStyle w:val="Hyperlink"/>
        </w:rPr>
        <w:t>8</w:t>
      </w:r>
      <w:r>
        <w:fldChar w:fldCharType="end"/>
      </w:r>
      <w:r>
        <w:fldChar w:fldCharType="end"/>
      </w:r>
    </w:p>
    <w:p>
      <w:pPr>
        <w:pStyle w:val="TOC2"/>
        <w:tabs>
          <w:tab w:val="right" w:leader="dot" w:pos="9170"/>
        </w:tabs>
        <w:rPr>
          <w:rFonts w:asciiTheme="minorHAnsi" w:hAnsiTheme="minorHAnsi"/>
          <w:noProof/>
          <w:sz w:val="22"/>
        </w:rPr>
      </w:pPr>
      <w:r>
        <w:fldChar w:fldCharType="begin"/>
      </w:r>
      <w:r>
        <w:rPr>
          <w:rStyle w:val="Hyperlink"/>
        </w:rPr>
        <w:instrText xml:space="preserve"> HYPERLINK \l "_Toc256000004" </w:instrText>
      </w:r>
      <w:r>
        <w:fldChar w:fldCharType="separate"/>
      </w:r>
      <w:r>
        <w:rPr>
          <w:rStyle w:val="Hyperlink"/>
          <w:rFonts w:asciiTheme="minorEastAsia" w:eastAsiaTheme="minorEastAsia" w:hAnsiTheme="minorEastAsia" w:cs="宋体" w:hint="eastAsia"/>
        </w:rPr>
        <w:t>四、提交投标文件</w:t>
      </w:r>
      <w:r>
        <w:rPr>
          <w:rStyle w:val="Hyperlink"/>
          <w:rFonts w:asciiTheme="minorEastAsia" w:eastAsiaTheme="minorEastAsia" w:hAnsiTheme="minorEastAsia" w:cs="宋体" w:hint="eastAsia"/>
        </w:rPr>
        <w:t>截止时间、开标时间和地点</w:t>
      </w:r>
      <w:r>
        <w:rPr>
          <w:rStyle w:val="Hyperlink"/>
        </w:rPr>
        <w:tab/>
      </w:r>
      <w:r>
        <w:fldChar w:fldCharType="begin"/>
      </w:r>
      <w:r>
        <w:rPr>
          <w:rStyle w:val="Hyperlink"/>
        </w:rPr>
        <w:instrText xml:space="preserve"> PAGEREF _Toc256000004 \h </w:instrText>
      </w:r>
      <w:r>
        <w:fldChar w:fldCharType="separate"/>
      </w:r>
      <w:r>
        <w:rPr>
          <w:rStyle w:val="Hyperlink"/>
        </w:rPr>
        <w:t>8</w:t>
      </w:r>
      <w:r>
        <w:fldChar w:fldCharType="end"/>
      </w:r>
      <w:r>
        <w:fldChar w:fldCharType="end"/>
      </w:r>
    </w:p>
    <w:p>
      <w:pPr>
        <w:pStyle w:val="TOC2"/>
        <w:tabs>
          <w:tab w:val="right" w:leader="dot" w:pos="9170"/>
        </w:tabs>
        <w:rPr>
          <w:rFonts w:asciiTheme="minorHAnsi" w:hAnsiTheme="minorHAnsi"/>
          <w:noProof/>
          <w:sz w:val="22"/>
        </w:rPr>
      </w:pPr>
      <w:r>
        <w:fldChar w:fldCharType="begin"/>
      </w:r>
      <w:r>
        <w:rPr>
          <w:rStyle w:val="Hyperlink"/>
        </w:rPr>
        <w:instrText xml:space="preserve"> HYPERLINK \l "_Toc256000005" </w:instrText>
      </w:r>
      <w:r>
        <w:fldChar w:fldCharType="separate"/>
      </w:r>
      <w:r>
        <w:rPr>
          <w:rStyle w:val="Hyperlink"/>
          <w:rFonts w:asciiTheme="minorEastAsia" w:eastAsiaTheme="minorEastAsia" w:hAnsiTheme="minorEastAsia" w:cs="宋体" w:hint="eastAsia"/>
        </w:rPr>
        <w:t>五、公告期限</w:t>
      </w:r>
      <w:r>
        <w:rPr>
          <w:rStyle w:val="Hyperlink"/>
        </w:rPr>
        <w:tab/>
      </w:r>
      <w:r>
        <w:fldChar w:fldCharType="begin"/>
      </w:r>
      <w:r>
        <w:rPr>
          <w:rStyle w:val="Hyperlink"/>
        </w:rPr>
        <w:instrText xml:space="preserve"> PAGEREF _Toc256000005 \h </w:instrText>
      </w:r>
      <w:r>
        <w:fldChar w:fldCharType="separate"/>
      </w:r>
      <w:r>
        <w:rPr>
          <w:rStyle w:val="Hyperlink"/>
        </w:rPr>
        <w:t>9</w:t>
      </w:r>
      <w:r>
        <w:fldChar w:fldCharType="end"/>
      </w:r>
      <w:r>
        <w:fldChar w:fldCharType="end"/>
      </w:r>
    </w:p>
    <w:p>
      <w:pPr>
        <w:pStyle w:val="TOC2"/>
        <w:tabs>
          <w:tab w:val="right" w:leader="dot" w:pos="9170"/>
        </w:tabs>
        <w:rPr>
          <w:rFonts w:asciiTheme="minorHAnsi" w:hAnsiTheme="minorHAnsi"/>
          <w:noProof/>
          <w:sz w:val="22"/>
        </w:rPr>
      </w:pPr>
      <w:r>
        <w:fldChar w:fldCharType="begin"/>
      </w:r>
      <w:r>
        <w:rPr>
          <w:rStyle w:val="Hyperlink"/>
        </w:rPr>
        <w:instrText xml:space="preserve"> HYPERLINK \l "_Toc256000006" </w:instrText>
      </w:r>
      <w:r>
        <w:fldChar w:fldCharType="separate"/>
      </w:r>
      <w:r>
        <w:rPr>
          <w:rStyle w:val="Hyperlink"/>
          <w:rFonts w:asciiTheme="minorEastAsia" w:eastAsiaTheme="minorEastAsia" w:hAnsiTheme="minorEastAsia" w:cs="宋体" w:hint="eastAsia"/>
        </w:rPr>
        <w:t>六、其他补充事宜</w:t>
      </w:r>
      <w:r>
        <w:rPr>
          <w:rStyle w:val="Hyperlink"/>
        </w:rPr>
        <w:tab/>
      </w:r>
      <w:r>
        <w:fldChar w:fldCharType="begin"/>
      </w:r>
      <w:r>
        <w:rPr>
          <w:rStyle w:val="Hyperlink"/>
        </w:rPr>
        <w:instrText xml:space="preserve"> PAGEREF _Toc256000006 \h </w:instrText>
      </w:r>
      <w:r>
        <w:fldChar w:fldCharType="separate"/>
      </w:r>
      <w:r>
        <w:rPr>
          <w:rStyle w:val="Hyperlink"/>
        </w:rPr>
        <w:t>9</w:t>
      </w:r>
      <w:r>
        <w:fldChar w:fldCharType="end"/>
      </w:r>
      <w:r>
        <w:fldChar w:fldCharType="end"/>
      </w:r>
    </w:p>
    <w:p>
      <w:pPr>
        <w:pStyle w:val="TOC2"/>
        <w:tabs>
          <w:tab w:val="right" w:leader="dot" w:pos="9170"/>
        </w:tabs>
        <w:rPr>
          <w:rFonts w:asciiTheme="minorHAnsi" w:hAnsiTheme="minorHAnsi"/>
          <w:noProof/>
          <w:sz w:val="22"/>
        </w:rPr>
      </w:pPr>
      <w:r>
        <w:fldChar w:fldCharType="begin"/>
      </w:r>
      <w:r>
        <w:rPr>
          <w:rStyle w:val="Hyperlink"/>
        </w:rPr>
        <w:instrText xml:space="preserve"> HYPERLINK \l "_Toc256000007" </w:instrText>
      </w:r>
      <w:r>
        <w:fldChar w:fldCharType="separate"/>
      </w:r>
      <w:r>
        <w:rPr>
          <w:rStyle w:val="Hyperlink"/>
          <w:rFonts w:asciiTheme="minorEastAsia" w:eastAsiaTheme="minorEastAsia" w:hAnsiTheme="minorEastAsia" w:cs="宋体" w:hint="eastAsia"/>
        </w:rPr>
        <w:t>七、对本次采购提出询问，请按</w:t>
      </w:r>
      <w:r>
        <w:rPr>
          <w:rStyle w:val="Hyperlink"/>
          <w:rFonts w:asciiTheme="minorEastAsia" w:eastAsiaTheme="minorEastAsia" w:hAnsiTheme="minorEastAsia" w:cs="宋体"/>
        </w:rPr>
        <w:t>以下方式</w:t>
      </w:r>
      <w:r>
        <w:rPr>
          <w:rStyle w:val="Hyperlink"/>
          <w:rFonts w:asciiTheme="minorEastAsia" w:eastAsiaTheme="minorEastAsia" w:hAnsiTheme="minorEastAsia" w:cs="宋体" w:hint="eastAsia"/>
        </w:rPr>
        <w:t>联系。</w:t>
      </w:r>
      <w:r>
        <w:rPr>
          <w:rStyle w:val="Hyperlink"/>
        </w:rPr>
        <w:tab/>
      </w:r>
      <w:r>
        <w:fldChar w:fldCharType="begin"/>
      </w:r>
      <w:r>
        <w:rPr>
          <w:rStyle w:val="Hyperlink"/>
        </w:rPr>
        <w:instrText xml:space="preserve"> PAGEREF _Toc256000007 \h </w:instrText>
      </w:r>
      <w:r>
        <w:fldChar w:fldCharType="separate"/>
      </w:r>
      <w:r>
        <w:rPr>
          <w:rStyle w:val="Hyperlink"/>
        </w:rPr>
        <w:t>10</w:t>
      </w:r>
      <w:r>
        <w:fldChar w:fldCharType="end"/>
      </w:r>
      <w:r>
        <w:fldChar w:fldCharType="end"/>
      </w:r>
    </w:p>
    <w:p>
      <w:pPr>
        <w:pStyle w:val="TOC2"/>
        <w:tabs>
          <w:tab w:val="right" w:leader="dot" w:pos="9170"/>
        </w:tabs>
        <w:rPr>
          <w:rFonts w:asciiTheme="minorHAnsi" w:hAnsiTheme="minorHAnsi"/>
          <w:noProof/>
          <w:sz w:val="22"/>
        </w:rPr>
      </w:pPr>
      <w:r>
        <w:fldChar w:fldCharType="begin"/>
      </w:r>
      <w:r>
        <w:rPr>
          <w:rStyle w:val="Hyperlink"/>
        </w:rPr>
        <w:instrText xml:space="preserve"> HYPERLINK \l "_Toc256000008" </w:instrText>
      </w:r>
      <w:r>
        <w:fldChar w:fldCharType="separate"/>
      </w:r>
      <w:r>
        <w:rPr>
          <w:rStyle w:val="Hyperlink"/>
          <w:rFonts w:asciiTheme="minorEastAsia" w:eastAsiaTheme="minorEastAsia" w:hAnsiTheme="minorEastAsia" w:cs="宋体" w:hint="eastAsia"/>
        </w:rPr>
        <w:t>八、招标文件</w:t>
      </w:r>
      <w:r>
        <w:rPr>
          <w:rStyle w:val="Hyperlink"/>
        </w:rPr>
        <w:tab/>
      </w:r>
      <w:r>
        <w:fldChar w:fldCharType="begin"/>
      </w:r>
      <w:r>
        <w:rPr>
          <w:rStyle w:val="Hyperlink"/>
        </w:rPr>
        <w:instrText xml:space="preserve"> PAGEREF _Toc256000008 \h </w:instrText>
      </w:r>
      <w:r>
        <w:fldChar w:fldCharType="separate"/>
      </w:r>
      <w:r>
        <w:rPr>
          <w:rStyle w:val="Hyperlink"/>
        </w:rPr>
        <w:t>10</w:t>
      </w:r>
      <w:r>
        <w:fldChar w:fldCharType="end"/>
      </w:r>
      <w:r>
        <w:fldChar w:fldCharType="end"/>
      </w:r>
    </w:p>
    <w:p>
      <w:pPr>
        <w:pStyle w:val="TOC1"/>
        <w:tabs>
          <w:tab w:val="right" w:leader="dot" w:pos="9170"/>
        </w:tabs>
        <w:rPr>
          <w:rFonts w:asciiTheme="minorHAnsi" w:hAnsiTheme="minorHAnsi"/>
          <w:noProof/>
          <w:sz w:val="22"/>
        </w:rPr>
      </w:pPr>
      <w:r>
        <w:fldChar w:fldCharType="begin"/>
      </w:r>
      <w:r>
        <w:rPr>
          <w:rStyle w:val="Hyperlink"/>
        </w:rPr>
        <w:instrText xml:space="preserve"> HYPERLINK \l "_Toc256000009" </w:instrText>
      </w:r>
      <w:r>
        <w:fldChar w:fldCharType="separate"/>
      </w:r>
      <w:r>
        <w:rPr>
          <w:rStyle w:val="Hyperlink"/>
          <w:rFonts w:hint="eastAsia"/>
        </w:rPr>
        <w:t>第二章 用户需求书</w:t>
      </w:r>
      <w:r>
        <w:rPr>
          <w:rStyle w:val="Hyperlink"/>
        </w:rPr>
        <w:tab/>
      </w:r>
      <w:r>
        <w:fldChar w:fldCharType="begin"/>
      </w:r>
      <w:r>
        <w:rPr>
          <w:rStyle w:val="Hyperlink"/>
        </w:rPr>
        <w:instrText xml:space="preserve"> PAGEREF _Toc256000009 \h </w:instrText>
      </w:r>
      <w:r>
        <w:fldChar w:fldCharType="separate"/>
      </w:r>
      <w:r>
        <w:rPr>
          <w:rStyle w:val="Hyperlink"/>
        </w:rPr>
        <w:t>12</w:t>
      </w:r>
      <w:r>
        <w:fldChar w:fldCharType="end"/>
      </w:r>
      <w:r>
        <w:fldChar w:fldCharType="end"/>
      </w:r>
    </w:p>
    <w:p>
      <w:pPr>
        <w:pStyle w:val="TOC1"/>
        <w:tabs>
          <w:tab w:val="right" w:leader="dot" w:pos="9170"/>
        </w:tabs>
        <w:rPr>
          <w:rFonts w:asciiTheme="minorHAnsi" w:hAnsiTheme="minorHAnsi"/>
          <w:noProof/>
          <w:sz w:val="22"/>
        </w:rPr>
      </w:pPr>
      <w:r>
        <w:fldChar w:fldCharType="begin"/>
      </w:r>
      <w:r>
        <w:rPr>
          <w:rStyle w:val="Hyperlink"/>
        </w:rPr>
        <w:instrText xml:space="preserve"> HYPERLINK \l "_Toc256000010" </w:instrText>
      </w:r>
      <w:r>
        <w:fldChar w:fldCharType="separate"/>
      </w:r>
      <w:r>
        <w:rPr>
          <w:rStyle w:val="Hyperlink"/>
          <w:rFonts w:hint="eastAsia"/>
        </w:rPr>
        <w:t>第三章 评标方法</w:t>
      </w:r>
      <w:r>
        <w:rPr>
          <w:rStyle w:val="Hyperlink"/>
          <w:rFonts w:hint="eastAsia"/>
        </w:rPr>
        <w:t>和标准</w:t>
      </w:r>
      <w:r>
        <w:rPr>
          <w:rStyle w:val="Hyperlink"/>
        </w:rPr>
        <w:tab/>
      </w:r>
      <w:r>
        <w:fldChar w:fldCharType="begin"/>
      </w:r>
      <w:r>
        <w:rPr>
          <w:rStyle w:val="Hyperlink"/>
        </w:rPr>
        <w:instrText xml:space="preserve"> PAGEREF _Toc256000010 \h </w:instrText>
      </w:r>
      <w:r>
        <w:fldChar w:fldCharType="separate"/>
      </w:r>
      <w:r>
        <w:rPr>
          <w:rStyle w:val="Hyperlink"/>
        </w:rPr>
        <w:t>17</w:t>
      </w:r>
      <w:r>
        <w:fldChar w:fldCharType="end"/>
      </w:r>
      <w:r>
        <w:fldChar w:fldCharType="end"/>
      </w:r>
    </w:p>
    <w:p>
      <w:pPr>
        <w:pStyle w:val="TOC1"/>
        <w:tabs>
          <w:tab w:val="right" w:leader="dot" w:pos="9170"/>
        </w:tabs>
        <w:rPr>
          <w:rFonts w:asciiTheme="minorHAnsi" w:hAnsiTheme="minorHAnsi"/>
          <w:noProof/>
          <w:sz w:val="22"/>
        </w:rPr>
      </w:pPr>
      <w:r>
        <w:fldChar w:fldCharType="begin"/>
      </w:r>
      <w:r>
        <w:rPr>
          <w:rStyle w:val="Hyperlink"/>
        </w:rPr>
        <w:instrText xml:space="preserve"> HYPERLINK \l "_Toc256000011" </w:instrText>
      </w:r>
      <w:r>
        <w:fldChar w:fldCharType="separate"/>
      </w:r>
      <w:r>
        <w:rPr>
          <w:rStyle w:val="Hyperlink"/>
        </w:rPr>
        <w:t>第</w:t>
      </w:r>
      <w:r>
        <w:rPr>
          <w:rStyle w:val="Hyperlink"/>
          <w:rFonts w:hint="eastAsia"/>
        </w:rPr>
        <w:t>四</w:t>
      </w:r>
      <w:r>
        <w:rPr>
          <w:rStyle w:val="Hyperlink"/>
        </w:rPr>
        <w:t>章</w:t>
      </w:r>
      <w:r>
        <w:rPr>
          <w:rStyle w:val="Hyperlink"/>
          <w:rFonts w:hint="eastAsia"/>
        </w:rPr>
        <w:t xml:space="preserve"> </w:t>
      </w:r>
      <w:r>
        <w:rPr>
          <w:rStyle w:val="Hyperlink"/>
        </w:rPr>
        <w:t>投标人须知</w:t>
      </w:r>
      <w:r>
        <w:rPr>
          <w:rStyle w:val="Hyperlink"/>
        </w:rPr>
        <w:tab/>
      </w:r>
      <w:r>
        <w:fldChar w:fldCharType="begin"/>
      </w:r>
      <w:r>
        <w:rPr>
          <w:rStyle w:val="Hyperlink"/>
        </w:rPr>
        <w:instrText xml:space="preserve"> PAGEREF _Toc256000011 \h </w:instrText>
      </w:r>
      <w:r>
        <w:fldChar w:fldCharType="separate"/>
      </w:r>
      <w:r>
        <w:rPr>
          <w:rStyle w:val="Hyperlink"/>
        </w:rPr>
        <w:t>29</w:t>
      </w:r>
      <w:r>
        <w:fldChar w:fldCharType="end"/>
      </w:r>
      <w:r>
        <w:fldChar w:fldCharType="end"/>
      </w:r>
    </w:p>
    <w:p>
      <w:pPr>
        <w:pStyle w:val="TOC2"/>
        <w:tabs>
          <w:tab w:val="right" w:leader="dot" w:pos="9170"/>
        </w:tabs>
        <w:rPr>
          <w:rFonts w:asciiTheme="minorHAnsi" w:hAnsiTheme="minorHAnsi"/>
          <w:noProof/>
          <w:sz w:val="22"/>
        </w:rPr>
      </w:pPr>
      <w:r>
        <w:fldChar w:fldCharType="begin"/>
      </w:r>
      <w:r>
        <w:rPr>
          <w:rStyle w:val="Hyperlink"/>
        </w:rPr>
        <w:instrText xml:space="preserve"> HYPERLINK \l "_Toc256000012" </w:instrText>
      </w:r>
      <w:r>
        <w:fldChar w:fldCharType="separate"/>
      </w:r>
      <w:r>
        <w:rPr>
          <w:rStyle w:val="Hyperlink"/>
          <w:rFonts w:hint="eastAsia"/>
          <w:b/>
          <w:bCs/>
        </w:rPr>
        <w:t>第一部分 投标人须知前附表</w:t>
      </w:r>
      <w:r>
        <w:rPr>
          <w:rStyle w:val="Hyperlink"/>
        </w:rPr>
        <w:tab/>
      </w:r>
      <w:r>
        <w:fldChar w:fldCharType="begin"/>
      </w:r>
      <w:r>
        <w:rPr>
          <w:rStyle w:val="Hyperlink"/>
        </w:rPr>
        <w:instrText xml:space="preserve"> PAGEREF _Toc256000012 \h </w:instrText>
      </w:r>
      <w:r>
        <w:fldChar w:fldCharType="separate"/>
      </w:r>
      <w:r>
        <w:rPr>
          <w:rStyle w:val="Hyperlink"/>
        </w:rPr>
        <w:t>29</w:t>
      </w:r>
      <w:r>
        <w:fldChar w:fldCharType="end"/>
      </w:r>
      <w:r>
        <w:fldChar w:fldCharType="end"/>
      </w:r>
    </w:p>
    <w:p>
      <w:pPr>
        <w:pStyle w:val="TOC2"/>
        <w:tabs>
          <w:tab w:val="right" w:leader="dot" w:pos="9170"/>
        </w:tabs>
        <w:rPr>
          <w:rFonts w:asciiTheme="minorHAnsi" w:hAnsiTheme="minorHAnsi"/>
          <w:noProof/>
          <w:sz w:val="22"/>
        </w:rPr>
      </w:pPr>
      <w:r>
        <w:fldChar w:fldCharType="begin"/>
      </w:r>
      <w:r>
        <w:rPr>
          <w:rStyle w:val="Hyperlink"/>
        </w:rPr>
        <w:instrText xml:space="preserve"> HYPERLINK \l "_Toc256000013" </w:instrText>
      </w:r>
      <w:r>
        <w:fldChar w:fldCharType="separate"/>
      </w:r>
      <w:r>
        <w:rPr>
          <w:rStyle w:val="Hyperlink"/>
          <w:rFonts w:hint="eastAsia"/>
          <w:b/>
          <w:bCs/>
        </w:rPr>
        <w:t>第二部分 投标人须知通用条款</w:t>
      </w:r>
      <w:r>
        <w:rPr>
          <w:rStyle w:val="Hyperlink"/>
        </w:rPr>
        <w:tab/>
      </w:r>
      <w:r>
        <w:fldChar w:fldCharType="begin"/>
      </w:r>
      <w:r>
        <w:rPr>
          <w:rStyle w:val="Hyperlink"/>
        </w:rPr>
        <w:instrText xml:space="preserve"> PAGEREF _Toc256000013 \h </w:instrText>
      </w:r>
      <w:r>
        <w:fldChar w:fldCharType="separate"/>
      </w:r>
      <w:r>
        <w:rPr>
          <w:rStyle w:val="Hyperlink"/>
        </w:rPr>
        <w:t>32</w:t>
      </w:r>
      <w:r>
        <w:fldChar w:fldCharType="end"/>
      </w:r>
      <w:r>
        <w:fldChar w:fldCharType="end"/>
      </w:r>
    </w:p>
    <w:p>
      <w:pPr>
        <w:pStyle w:val="TOC3"/>
        <w:tabs>
          <w:tab w:val="left" w:pos="1100"/>
          <w:tab w:val="right" w:leader="dot" w:pos="9170"/>
        </w:tabs>
        <w:rPr>
          <w:rFonts w:asciiTheme="minorHAnsi" w:hAnsiTheme="minorHAnsi"/>
          <w:noProof/>
          <w:sz w:val="22"/>
        </w:rPr>
      </w:pPr>
      <w:r>
        <w:fldChar w:fldCharType="begin"/>
      </w:r>
      <w:r>
        <w:rPr>
          <w:rStyle w:val="Hyperlink"/>
        </w:rPr>
        <w:instrText xml:space="preserve"> HYPERLINK \l "_Toc256000014" </w:instrText>
      </w:r>
      <w:r>
        <w:fldChar w:fldCharType="separate"/>
      </w:r>
      <w:r>
        <w:rPr>
          <w:rStyle w:val="Hyperlink"/>
        </w:rPr>
        <w:t>一、</w:t>
      </w:r>
      <w:r>
        <w:rPr>
          <w:rStyle w:val="Hyperlink"/>
          <w:rFonts w:asciiTheme="minorHAnsi" w:hAnsiTheme="minorHAnsi"/>
          <w:noProof/>
          <w:sz w:val="22"/>
        </w:rPr>
        <w:tab/>
      </w:r>
      <w:r>
        <w:rPr>
          <w:rStyle w:val="Hyperlink"/>
          <w:rFonts w:ascii="宋体" w:hAnsi="宋体" w:hint="eastAsia"/>
          <w:b/>
        </w:rPr>
        <w:t>总</w:t>
      </w:r>
      <w:r>
        <w:rPr>
          <w:rStyle w:val="Hyperlink"/>
          <w:rFonts w:ascii="宋体" w:hAnsi="宋体"/>
          <w:b/>
          <w:lang w:eastAsia="zh-TW"/>
        </w:rPr>
        <w:t xml:space="preserve"> </w:t>
      </w:r>
      <w:r>
        <w:rPr>
          <w:rStyle w:val="Hyperlink"/>
          <w:rFonts w:ascii="宋体" w:hAnsi="宋体" w:hint="eastAsia"/>
          <w:b/>
        </w:rPr>
        <w:t>则</w:t>
      </w:r>
      <w:r>
        <w:rPr>
          <w:rStyle w:val="Hyperlink"/>
        </w:rPr>
        <w:tab/>
      </w:r>
      <w:r>
        <w:fldChar w:fldCharType="begin"/>
      </w:r>
      <w:r>
        <w:rPr>
          <w:rStyle w:val="Hyperlink"/>
        </w:rPr>
        <w:instrText xml:space="preserve"> PAGEREF _Toc256000014 \h </w:instrText>
      </w:r>
      <w:r>
        <w:fldChar w:fldCharType="separate"/>
      </w:r>
      <w:r>
        <w:rPr>
          <w:rStyle w:val="Hyperlink"/>
        </w:rPr>
        <w:t>32</w:t>
      </w:r>
      <w:r>
        <w:fldChar w:fldCharType="end"/>
      </w:r>
      <w:r>
        <w:fldChar w:fldCharType="end"/>
      </w:r>
    </w:p>
    <w:p>
      <w:pPr>
        <w:pStyle w:val="TOC3"/>
        <w:tabs>
          <w:tab w:val="left" w:pos="1100"/>
          <w:tab w:val="right" w:leader="dot" w:pos="9170"/>
        </w:tabs>
        <w:rPr>
          <w:rFonts w:asciiTheme="minorHAnsi" w:hAnsiTheme="minorHAnsi"/>
          <w:noProof/>
          <w:sz w:val="22"/>
        </w:rPr>
      </w:pPr>
      <w:r>
        <w:fldChar w:fldCharType="begin"/>
      </w:r>
      <w:r>
        <w:rPr>
          <w:rStyle w:val="Hyperlink"/>
        </w:rPr>
        <w:instrText xml:space="preserve"> HYPERLINK \l "_Toc256000015" </w:instrText>
      </w:r>
      <w:r>
        <w:fldChar w:fldCharType="separate"/>
      </w:r>
      <w:r>
        <w:rPr>
          <w:rStyle w:val="Hyperlink"/>
        </w:rPr>
        <w:t>二、</w:t>
      </w:r>
      <w:r>
        <w:rPr>
          <w:rStyle w:val="Hyperlink"/>
          <w:rFonts w:asciiTheme="minorHAnsi" w:hAnsiTheme="minorHAnsi"/>
          <w:noProof/>
          <w:sz w:val="22"/>
        </w:rPr>
        <w:tab/>
      </w:r>
      <w:r>
        <w:rPr>
          <w:rStyle w:val="Hyperlink"/>
          <w:rFonts w:ascii="宋体" w:hAnsi="宋体" w:hint="eastAsia"/>
          <w:b/>
          <w:lang w:eastAsia="zh-TW"/>
        </w:rPr>
        <w:t>招标文件</w:t>
      </w:r>
      <w:r>
        <w:rPr>
          <w:rStyle w:val="Hyperlink"/>
        </w:rPr>
        <w:tab/>
      </w:r>
      <w:r>
        <w:fldChar w:fldCharType="begin"/>
      </w:r>
      <w:r>
        <w:rPr>
          <w:rStyle w:val="Hyperlink"/>
        </w:rPr>
        <w:instrText xml:space="preserve"> PAGEREF _Toc256000015 \h </w:instrText>
      </w:r>
      <w:r>
        <w:fldChar w:fldCharType="separate"/>
      </w:r>
      <w:r>
        <w:rPr>
          <w:rStyle w:val="Hyperlink"/>
        </w:rPr>
        <w:t>33</w:t>
      </w:r>
      <w:r>
        <w:fldChar w:fldCharType="end"/>
      </w:r>
      <w:r>
        <w:fldChar w:fldCharType="end"/>
      </w:r>
    </w:p>
    <w:p>
      <w:pPr>
        <w:pStyle w:val="TOC3"/>
        <w:tabs>
          <w:tab w:val="left" w:pos="1100"/>
          <w:tab w:val="right" w:leader="dot" w:pos="9170"/>
        </w:tabs>
        <w:rPr>
          <w:rFonts w:asciiTheme="minorHAnsi" w:hAnsiTheme="minorHAnsi"/>
          <w:noProof/>
          <w:sz w:val="22"/>
        </w:rPr>
      </w:pPr>
      <w:r>
        <w:fldChar w:fldCharType="begin"/>
      </w:r>
      <w:r>
        <w:rPr>
          <w:rStyle w:val="Hyperlink"/>
        </w:rPr>
        <w:instrText xml:space="preserve"> HYPERLINK \l "_Toc256000016" </w:instrText>
      </w:r>
      <w:r>
        <w:fldChar w:fldCharType="separate"/>
      </w:r>
      <w:r>
        <w:rPr>
          <w:rStyle w:val="Hyperlink"/>
        </w:rPr>
        <w:t>三、</w:t>
      </w:r>
      <w:r>
        <w:rPr>
          <w:rStyle w:val="Hyperlink"/>
          <w:rFonts w:asciiTheme="minorHAnsi" w:hAnsiTheme="minorHAnsi"/>
          <w:noProof/>
          <w:sz w:val="22"/>
        </w:rPr>
        <w:tab/>
      </w:r>
      <w:r>
        <w:rPr>
          <w:rStyle w:val="Hyperlink"/>
          <w:rFonts w:ascii="宋体" w:hAnsi="宋体" w:hint="eastAsia"/>
          <w:b/>
          <w:lang w:eastAsia="zh-TW"/>
        </w:rPr>
        <w:t>投标文件的编制</w:t>
      </w:r>
      <w:r>
        <w:rPr>
          <w:rStyle w:val="Hyperlink"/>
        </w:rPr>
        <w:tab/>
      </w:r>
      <w:r>
        <w:fldChar w:fldCharType="begin"/>
      </w:r>
      <w:r>
        <w:rPr>
          <w:rStyle w:val="Hyperlink"/>
        </w:rPr>
        <w:instrText xml:space="preserve"> PAGEREF _Toc256000016 \h </w:instrText>
      </w:r>
      <w:r>
        <w:fldChar w:fldCharType="separate"/>
      </w:r>
      <w:r>
        <w:rPr>
          <w:rStyle w:val="Hyperlink"/>
        </w:rPr>
        <w:t>34</w:t>
      </w:r>
      <w:r>
        <w:fldChar w:fldCharType="end"/>
      </w:r>
      <w:r>
        <w:fldChar w:fldCharType="end"/>
      </w:r>
    </w:p>
    <w:p>
      <w:pPr>
        <w:pStyle w:val="TOC3"/>
        <w:tabs>
          <w:tab w:val="left" w:pos="1100"/>
          <w:tab w:val="right" w:leader="dot" w:pos="9170"/>
        </w:tabs>
        <w:rPr>
          <w:rFonts w:asciiTheme="minorHAnsi" w:hAnsiTheme="minorHAnsi"/>
          <w:noProof/>
          <w:sz w:val="22"/>
        </w:rPr>
      </w:pPr>
      <w:r>
        <w:fldChar w:fldCharType="begin"/>
      </w:r>
      <w:r>
        <w:rPr>
          <w:rStyle w:val="Hyperlink"/>
        </w:rPr>
        <w:instrText xml:space="preserve"> HYPERLINK \l "_Toc256000017" </w:instrText>
      </w:r>
      <w:r>
        <w:fldChar w:fldCharType="separate"/>
      </w:r>
      <w:r>
        <w:rPr>
          <w:rStyle w:val="Hyperlink"/>
        </w:rPr>
        <w:t>四、</w:t>
      </w:r>
      <w:r>
        <w:rPr>
          <w:rStyle w:val="Hyperlink"/>
          <w:rFonts w:asciiTheme="minorHAnsi" w:hAnsiTheme="minorHAnsi"/>
          <w:noProof/>
          <w:sz w:val="22"/>
        </w:rPr>
        <w:tab/>
      </w:r>
      <w:r>
        <w:rPr>
          <w:rStyle w:val="Hyperlink"/>
          <w:rFonts w:ascii="宋体" w:hAnsi="宋体" w:hint="eastAsia"/>
          <w:b/>
          <w:lang w:eastAsia="zh-TW"/>
        </w:rPr>
        <w:t>投标文件的递交</w:t>
      </w:r>
      <w:r>
        <w:rPr>
          <w:rStyle w:val="Hyperlink"/>
        </w:rPr>
        <w:tab/>
      </w:r>
      <w:r>
        <w:fldChar w:fldCharType="begin"/>
      </w:r>
      <w:r>
        <w:rPr>
          <w:rStyle w:val="Hyperlink"/>
        </w:rPr>
        <w:instrText xml:space="preserve"> PAGEREF _Toc256000017 \h </w:instrText>
      </w:r>
      <w:r>
        <w:fldChar w:fldCharType="separate"/>
      </w:r>
      <w:r>
        <w:rPr>
          <w:rStyle w:val="Hyperlink"/>
        </w:rPr>
        <w:t>39</w:t>
      </w:r>
      <w:r>
        <w:fldChar w:fldCharType="end"/>
      </w:r>
      <w:r>
        <w:fldChar w:fldCharType="end"/>
      </w:r>
    </w:p>
    <w:p>
      <w:pPr>
        <w:pStyle w:val="TOC3"/>
        <w:tabs>
          <w:tab w:val="left" w:pos="1100"/>
          <w:tab w:val="right" w:leader="dot" w:pos="9170"/>
        </w:tabs>
        <w:rPr>
          <w:rFonts w:asciiTheme="minorHAnsi" w:hAnsiTheme="minorHAnsi"/>
          <w:noProof/>
          <w:sz w:val="22"/>
        </w:rPr>
      </w:pPr>
      <w:r>
        <w:fldChar w:fldCharType="begin"/>
      </w:r>
      <w:r>
        <w:rPr>
          <w:rStyle w:val="Hyperlink"/>
        </w:rPr>
        <w:instrText xml:space="preserve"> HYPERLINK \l "_Toc256000018" </w:instrText>
      </w:r>
      <w:r>
        <w:fldChar w:fldCharType="separate"/>
      </w:r>
      <w:r>
        <w:rPr>
          <w:rStyle w:val="Hyperlink"/>
        </w:rPr>
        <w:t>五、</w:t>
      </w:r>
      <w:r>
        <w:rPr>
          <w:rStyle w:val="Hyperlink"/>
          <w:rFonts w:asciiTheme="minorHAnsi" w:hAnsiTheme="minorHAnsi"/>
          <w:noProof/>
          <w:sz w:val="22"/>
        </w:rPr>
        <w:tab/>
      </w:r>
      <w:r>
        <w:rPr>
          <w:rStyle w:val="Hyperlink"/>
          <w:rFonts w:ascii="宋体" w:hAnsi="宋体" w:hint="eastAsia"/>
          <w:b/>
          <w:lang w:eastAsia="zh-TW"/>
        </w:rPr>
        <w:t>开标、评标、定标与合同签订</w:t>
      </w:r>
      <w:r>
        <w:rPr>
          <w:rStyle w:val="Hyperlink"/>
        </w:rPr>
        <w:tab/>
      </w:r>
      <w:r>
        <w:fldChar w:fldCharType="begin"/>
      </w:r>
      <w:r>
        <w:rPr>
          <w:rStyle w:val="Hyperlink"/>
        </w:rPr>
        <w:instrText xml:space="preserve"> PAGEREF _Toc256000018 \h </w:instrText>
      </w:r>
      <w:r>
        <w:fldChar w:fldCharType="separate"/>
      </w:r>
      <w:r>
        <w:rPr>
          <w:rStyle w:val="Hyperlink"/>
        </w:rPr>
        <w:t>39</w:t>
      </w:r>
      <w:r>
        <w:fldChar w:fldCharType="end"/>
      </w:r>
      <w:r>
        <w:fldChar w:fldCharType="end"/>
      </w:r>
    </w:p>
    <w:p>
      <w:pPr>
        <w:pStyle w:val="TOC3"/>
        <w:tabs>
          <w:tab w:val="left" w:pos="1100"/>
          <w:tab w:val="right" w:leader="dot" w:pos="9170"/>
        </w:tabs>
        <w:rPr>
          <w:rFonts w:asciiTheme="minorHAnsi" w:hAnsiTheme="minorHAnsi"/>
          <w:noProof/>
          <w:sz w:val="22"/>
        </w:rPr>
      </w:pPr>
      <w:r>
        <w:fldChar w:fldCharType="begin"/>
      </w:r>
      <w:r>
        <w:rPr>
          <w:rStyle w:val="Hyperlink"/>
        </w:rPr>
        <w:instrText xml:space="preserve"> HYPERLINK \l "_Toc256000019" </w:instrText>
      </w:r>
      <w:r>
        <w:fldChar w:fldCharType="separate"/>
      </w:r>
      <w:r>
        <w:rPr>
          <w:rStyle w:val="Hyperlink"/>
        </w:rPr>
        <w:t>六、</w:t>
      </w:r>
      <w:r>
        <w:rPr>
          <w:rStyle w:val="Hyperlink"/>
          <w:rFonts w:asciiTheme="minorHAnsi" w:hAnsiTheme="minorHAnsi"/>
          <w:noProof/>
          <w:sz w:val="22"/>
        </w:rPr>
        <w:tab/>
      </w:r>
      <w:r>
        <w:rPr>
          <w:rStyle w:val="Hyperlink"/>
          <w:rFonts w:ascii="宋体" w:hAnsi="宋体" w:hint="eastAsia"/>
          <w:b/>
          <w:lang w:eastAsia="zh-TW"/>
        </w:rPr>
        <w:t>询问、质疑与投诉</w:t>
      </w:r>
      <w:r>
        <w:rPr>
          <w:rStyle w:val="Hyperlink"/>
        </w:rPr>
        <w:tab/>
      </w:r>
      <w:r>
        <w:fldChar w:fldCharType="begin"/>
      </w:r>
      <w:r>
        <w:rPr>
          <w:rStyle w:val="Hyperlink"/>
        </w:rPr>
        <w:instrText xml:space="preserve"> PAGEREF _Toc256000019 \h </w:instrText>
      </w:r>
      <w:r>
        <w:fldChar w:fldCharType="separate"/>
      </w:r>
      <w:r>
        <w:rPr>
          <w:rStyle w:val="Hyperlink"/>
        </w:rPr>
        <w:t>44</w:t>
      </w:r>
      <w:r>
        <w:fldChar w:fldCharType="end"/>
      </w:r>
      <w:r>
        <w:fldChar w:fldCharType="end"/>
      </w:r>
    </w:p>
    <w:p>
      <w:pPr>
        <w:pStyle w:val="TOC1"/>
        <w:tabs>
          <w:tab w:val="right" w:leader="dot" w:pos="9170"/>
        </w:tabs>
        <w:rPr>
          <w:rFonts w:asciiTheme="minorHAnsi" w:hAnsiTheme="minorHAnsi"/>
          <w:noProof/>
          <w:sz w:val="22"/>
        </w:rPr>
      </w:pPr>
      <w:r>
        <w:fldChar w:fldCharType="begin"/>
      </w:r>
      <w:r>
        <w:rPr>
          <w:rStyle w:val="Hyperlink"/>
        </w:rPr>
        <w:instrText xml:space="preserve"> HYPERLINK \l "_Toc256000020" </w:instrText>
      </w:r>
      <w:r>
        <w:fldChar w:fldCharType="separate"/>
      </w:r>
      <w:r>
        <w:rPr>
          <w:rStyle w:val="Hyperlink"/>
          <w:rFonts w:hint="eastAsia"/>
        </w:rPr>
        <w:t>第五章 合同格式条款（仅供参考）</w:t>
      </w:r>
      <w:r>
        <w:rPr>
          <w:rStyle w:val="Hyperlink"/>
        </w:rPr>
        <w:tab/>
      </w:r>
      <w:r>
        <w:fldChar w:fldCharType="begin"/>
      </w:r>
      <w:r>
        <w:rPr>
          <w:rStyle w:val="Hyperlink"/>
        </w:rPr>
        <w:instrText xml:space="preserve"> PAGEREF _Toc256000020 \h </w:instrText>
      </w:r>
      <w:r>
        <w:fldChar w:fldCharType="separate"/>
      </w:r>
      <w:r>
        <w:rPr>
          <w:rStyle w:val="Hyperlink"/>
        </w:rPr>
        <w:t>49</w:t>
      </w:r>
      <w:r>
        <w:fldChar w:fldCharType="end"/>
      </w:r>
      <w:r>
        <w:fldChar w:fldCharType="end"/>
      </w:r>
    </w:p>
    <w:p>
      <w:pPr>
        <w:pStyle w:val="TOC1"/>
        <w:tabs>
          <w:tab w:val="right" w:leader="dot" w:pos="9170"/>
        </w:tabs>
        <w:rPr>
          <w:rFonts w:asciiTheme="minorHAnsi" w:hAnsiTheme="minorHAnsi"/>
          <w:noProof/>
          <w:sz w:val="22"/>
        </w:rPr>
      </w:pPr>
      <w:r>
        <w:fldChar w:fldCharType="begin"/>
      </w:r>
      <w:r>
        <w:rPr>
          <w:rStyle w:val="Hyperlink"/>
        </w:rPr>
        <w:instrText xml:space="preserve"> HYPERLINK \l "_Toc256000021" </w:instrText>
      </w:r>
      <w:r>
        <w:fldChar w:fldCharType="separate"/>
      </w:r>
      <w:r>
        <w:rPr>
          <w:rStyle w:val="Hyperlink"/>
          <w:rFonts w:hint="eastAsia"/>
        </w:rPr>
        <w:t>第六章 投标文件格式</w:t>
      </w:r>
      <w:r>
        <w:rPr>
          <w:rStyle w:val="Hyperlink"/>
        </w:rPr>
        <w:tab/>
      </w:r>
      <w:r>
        <w:fldChar w:fldCharType="begin"/>
      </w:r>
      <w:r>
        <w:rPr>
          <w:rStyle w:val="Hyperlink"/>
        </w:rPr>
        <w:instrText xml:space="preserve"> PAGEREF _Toc256000021 \h </w:instrText>
      </w:r>
      <w:r>
        <w:fldChar w:fldCharType="separate"/>
      </w:r>
      <w:r>
        <w:rPr>
          <w:rStyle w:val="Hyperlink"/>
        </w:rPr>
        <w:t>52</w:t>
      </w:r>
      <w:r>
        <w:fldChar w:fldCharType="end"/>
      </w:r>
      <w:r>
        <w:fldChar w:fldCharType="end"/>
      </w:r>
    </w:p>
    <w:p>
      <w:pPr>
        <w:pStyle w:val="TOC2"/>
        <w:tabs>
          <w:tab w:val="left" w:pos="880"/>
          <w:tab w:val="right" w:leader="dot" w:pos="9170"/>
        </w:tabs>
        <w:rPr>
          <w:rFonts w:asciiTheme="minorHAnsi" w:hAnsiTheme="minorHAnsi"/>
          <w:noProof/>
          <w:sz w:val="22"/>
        </w:rPr>
      </w:pPr>
      <w:r>
        <w:fldChar w:fldCharType="begin"/>
      </w:r>
      <w:r>
        <w:rPr>
          <w:rStyle w:val="Hyperlink"/>
        </w:rPr>
        <w:instrText xml:space="preserve"> HYPERLINK \l "_Toc256000022" </w:instrText>
      </w:r>
      <w:r>
        <w:fldChar w:fldCharType="separate"/>
      </w:r>
      <w:r>
        <w:rPr>
          <w:rStyle w:val="Hyperlink"/>
          <w:rFonts w:hint="eastAsia"/>
        </w:rPr>
        <w:t>（一）</w:t>
      </w:r>
      <w:r>
        <w:rPr>
          <w:rStyle w:val="Hyperlink"/>
          <w:rFonts w:asciiTheme="minorHAnsi" w:hAnsiTheme="minorHAnsi"/>
          <w:noProof/>
          <w:sz w:val="22"/>
        </w:rPr>
        <w:tab/>
      </w:r>
      <w:r>
        <w:rPr>
          <w:rStyle w:val="Hyperlink"/>
          <w:rFonts w:hint="eastAsia"/>
        </w:rPr>
        <w:t>投标文件封面参考</w:t>
      </w:r>
      <w:r>
        <w:rPr>
          <w:rStyle w:val="Hyperlink"/>
        </w:rPr>
        <w:tab/>
      </w:r>
      <w:r>
        <w:fldChar w:fldCharType="begin"/>
      </w:r>
      <w:r>
        <w:rPr>
          <w:rStyle w:val="Hyperlink"/>
        </w:rPr>
        <w:instrText xml:space="preserve"> PAGEREF _Toc256000022 \h </w:instrText>
      </w:r>
      <w:r>
        <w:fldChar w:fldCharType="separate"/>
      </w:r>
      <w:r>
        <w:rPr>
          <w:rStyle w:val="Hyperlink"/>
        </w:rPr>
        <w:t>52</w:t>
      </w:r>
      <w:r>
        <w:fldChar w:fldCharType="end"/>
      </w:r>
      <w:r>
        <w:fldChar w:fldCharType="end"/>
      </w:r>
    </w:p>
    <w:p>
      <w:pPr>
        <w:pStyle w:val="TOC2"/>
        <w:tabs>
          <w:tab w:val="left" w:pos="880"/>
          <w:tab w:val="right" w:leader="dot" w:pos="9170"/>
        </w:tabs>
        <w:rPr>
          <w:rFonts w:asciiTheme="minorHAnsi" w:hAnsiTheme="minorHAnsi"/>
          <w:noProof/>
          <w:sz w:val="22"/>
        </w:rPr>
      </w:pPr>
      <w:r>
        <w:fldChar w:fldCharType="begin"/>
      </w:r>
      <w:r>
        <w:rPr>
          <w:rStyle w:val="Hyperlink"/>
        </w:rPr>
        <w:instrText xml:space="preserve"> HYPERLINK \l "_Toc256000023" </w:instrText>
      </w:r>
      <w:r>
        <w:fldChar w:fldCharType="separate"/>
      </w:r>
      <w:r>
        <w:rPr>
          <w:rStyle w:val="Hyperlink"/>
          <w:rFonts w:hint="eastAsia"/>
        </w:rPr>
        <w:t>（二）</w:t>
      </w:r>
      <w:r>
        <w:rPr>
          <w:rStyle w:val="Hyperlink"/>
          <w:rFonts w:asciiTheme="minorHAnsi" w:hAnsiTheme="minorHAnsi"/>
          <w:noProof/>
          <w:sz w:val="22"/>
        </w:rPr>
        <w:tab/>
      </w:r>
      <w:r>
        <w:rPr>
          <w:rStyle w:val="Hyperlink"/>
          <w:rFonts w:hint="eastAsia"/>
        </w:rPr>
        <w:t>营业执照等资质证明文件</w:t>
      </w:r>
      <w:r>
        <w:rPr>
          <w:rStyle w:val="Hyperlink"/>
        </w:rPr>
        <w:tab/>
      </w:r>
      <w:r>
        <w:fldChar w:fldCharType="begin"/>
      </w:r>
      <w:r>
        <w:rPr>
          <w:rStyle w:val="Hyperlink"/>
        </w:rPr>
        <w:instrText xml:space="preserve"> PAGEREF _Toc256000023 \h </w:instrText>
      </w:r>
      <w:r>
        <w:fldChar w:fldCharType="separate"/>
      </w:r>
      <w:r>
        <w:rPr>
          <w:rStyle w:val="Hyperlink"/>
        </w:rPr>
        <w:t>53</w:t>
      </w:r>
      <w:r>
        <w:fldChar w:fldCharType="end"/>
      </w:r>
      <w:r>
        <w:fldChar w:fldCharType="end"/>
      </w:r>
    </w:p>
    <w:p>
      <w:pPr>
        <w:pStyle w:val="TOC2"/>
        <w:tabs>
          <w:tab w:val="left" w:pos="880"/>
          <w:tab w:val="right" w:leader="dot" w:pos="9170"/>
        </w:tabs>
        <w:rPr>
          <w:rFonts w:asciiTheme="minorHAnsi" w:hAnsiTheme="minorHAnsi"/>
          <w:noProof/>
          <w:sz w:val="22"/>
        </w:rPr>
      </w:pPr>
      <w:r>
        <w:fldChar w:fldCharType="begin"/>
      </w:r>
      <w:r>
        <w:rPr>
          <w:rStyle w:val="Hyperlink"/>
        </w:rPr>
        <w:instrText xml:space="preserve"> HYPERLINK \l "_Toc256000024" </w:instrText>
      </w:r>
      <w:r>
        <w:fldChar w:fldCharType="separate"/>
      </w:r>
      <w:r>
        <w:rPr>
          <w:rStyle w:val="Hyperlink"/>
          <w:rFonts w:hint="eastAsia"/>
        </w:rPr>
        <w:t>（三）</w:t>
      </w:r>
      <w:r>
        <w:rPr>
          <w:rStyle w:val="Hyperlink"/>
          <w:rFonts w:asciiTheme="minorHAnsi" w:hAnsiTheme="minorHAnsi"/>
          <w:noProof/>
          <w:sz w:val="22"/>
        </w:rPr>
        <w:tab/>
      </w:r>
      <w:r>
        <w:rPr>
          <w:rStyle w:val="Hyperlink"/>
          <w:rFonts w:hint="eastAsia"/>
        </w:rPr>
        <w:t>投标分项报价表</w:t>
      </w:r>
      <w:r>
        <w:rPr>
          <w:rStyle w:val="Hyperlink"/>
        </w:rPr>
        <w:tab/>
      </w:r>
      <w:r>
        <w:fldChar w:fldCharType="begin"/>
      </w:r>
      <w:r>
        <w:rPr>
          <w:rStyle w:val="Hyperlink"/>
        </w:rPr>
        <w:instrText xml:space="preserve"> PAGEREF _Toc256000024 \h </w:instrText>
      </w:r>
      <w:r>
        <w:fldChar w:fldCharType="separate"/>
      </w:r>
      <w:r>
        <w:rPr>
          <w:rStyle w:val="Hyperlink"/>
        </w:rPr>
        <w:t>54</w:t>
      </w:r>
      <w:r>
        <w:fldChar w:fldCharType="end"/>
      </w:r>
      <w:r>
        <w:fldChar w:fldCharType="end"/>
      </w:r>
    </w:p>
    <w:p>
      <w:pPr>
        <w:pStyle w:val="TOC2"/>
        <w:tabs>
          <w:tab w:val="left" w:pos="880"/>
          <w:tab w:val="right" w:leader="dot" w:pos="9170"/>
        </w:tabs>
        <w:rPr>
          <w:rFonts w:asciiTheme="minorHAnsi" w:hAnsiTheme="minorHAnsi"/>
          <w:noProof/>
          <w:sz w:val="22"/>
        </w:rPr>
      </w:pPr>
      <w:r>
        <w:fldChar w:fldCharType="begin"/>
      </w:r>
      <w:r>
        <w:rPr>
          <w:rStyle w:val="Hyperlink"/>
        </w:rPr>
        <w:instrText xml:space="preserve"> HYPERLINK \l "_Toc256000025" </w:instrText>
      </w:r>
      <w:r>
        <w:fldChar w:fldCharType="separate"/>
      </w:r>
      <w:r>
        <w:rPr>
          <w:rStyle w:val="Hyperlink"/>
          <w:rFonts w:hint="eastAsia"/>
        </w:rPr>
        <w:t>（四）</w:t>
      </w:r>
      <w:r>
        <w:rPr>
          <w:rStyle w:val="Hyperlink"/>
          <w:rFonts w:asciiTheme="minorHAnsi" w:hAnsiTheme="minorHAnsi"/>
          <w:noProof/>
          <w:sz w:val="22"/>
        </w:rPr>
        <w:tab/>
      </w:r>
      <w:r>
        <w:rPr>
          <w:rStyle w:val="Hyperlink"/>
          <w:rFonts w:ascii="黑体" w:hAnsi="黑体" w:hint="eastAsia"/>
        </w:rPr>
        <w:t>中小企业声明函（如有）</w:t>
      </w:r>
      <w:r>
        <w:rPr>
          <w:rStyle w:val="Hyperlink"/>
        </w:rPr>
        <w:tab/>
      </w:r>
      <w:r>
        <w:fldChar w:fldCharType="begin"/>
      </w:r>
      <w:r>
        <w:rPr>
          <w:rStyle w:val="Hyperlink"/>
        </w:rPr>
        <w:instrText xml:space="preserve"> PAGEREF _Toc256000025 \h </w:instrText>
      </w:r>
      <w:r>
        <w:fldChar w:fldCharType="separate"/>
      </w:r>
      <w:r>
        <w:rPr>
          <w:rStyle w:val="Hyperlink"/>
        </w:rPr>
        <w:t>55</w:t>
      </w:r>
      <w:r>
        <w:fldChar w:fldCharType="end"/>
      </w:r>
      <w:r>
        <w:fldChar w:fldCharType="end"/>
      </w:r>
    </w:p>
    <w:p>
      <w:pPr>
        <w:pStyle w:val="TOC2"/>
        <w:tabs>
          <w:tab w:val="left" w:pos="880"/>
          <w:tab w:val="right" w:leader="dot" w:pos="9170"/>
        </w:tabs>
        <w:rPr>
          <w:rFonts w:asciiTheme="minorHAnsi" w:hAnsiTheme="minorHAnsi"/>
          <w:noProof/>
          <w:sz w:val="22"/>
        </w:rPr>
      </w:pPr>
      <w:r>
        <w:fldChar w:fldCharType="begin"/>
      </w:r>
      <w:r>
        <w:rPr>
          <w:rStyle w:val="Hyperlink"/>
        </w:rPr>
        <w:instrText xml:space="preserve"> HYPERLINK \l "_Toc256000026" </w:instrText>
      </w:r>
      <w:r>
        <w:fldChar w:fldCharType="separate"/>
      </w:r>
      <w:r>
        <w:rPr>
          <w:rStyle w:val="Hyperlink"/>
          <w:rFonts w:hint="eastAsia"/>
        </w:rPr>
        <w:t>（五）</w:t>
      </w:r>
      <w:r>
        <w:rPr>
          <w:rStyle w:val="Hyperlink"/>
          <w:rFonts w:asciiTheme="minorHAnsi" w:hAnsiTheme="minorHAnsi"/>
          <w:noProof/>
          <w:sz w:val="22"/>
        </w:rPr>
        <w:tab/>
      </w:r>
      <w:r>
        <w:rPr>
          <w:rStyle w:val="Hyperlink"/>
          <w:rFonts w:ascii="黑体" w:hAnsi="黑体" w:hint="eastAsia"/>
        </w:rPr>
        <w:t>残疾人福利性单位声明函（如有）</w:t>
      </w:r>
      <w:r>
        <w:rPr>
          <w:rStyle w:val="Hyperlink"/>
        </w:rPr>
        <w:tab/>
      </w:r>
      <w:r>
        <w:fldChar w:fldCharType="begin"/>
      </w:r>
      <w:r>
        <w:rPr>
          <w:rStyle w:val="Hyperlink"/>
        </w:rPr>
        <w:instrText xml:space="preserve"> PAGEREF _Toc256000026 \h </w:instrText>
      </w:r>
      <w:r>
        <w:fldChar w:fldCharType="separate"/>
      </w:r>
      <w:r>
        <w:rPr>
          <w:rStyle w:val="Hyperlink"/>
        </w:rPr>
        <w:t>56</w:t>
      </w:r>
      <w:r>
        <w:fldChar w:fldCharType="end"/>
      </w:r>
      <w:r>
        <w:fldChar w:fldCharType="end"/>
      </w:r>
    </w:p>
    <w:p>
      <w:pPr>
        <w:pStyle w:val="TOC2"/>
        <w:tabs>
          <w:tab w:val="left" w:pos="880"/>
          <w:tab w:val="right" w:leader="dot" w:pos="9170"/>
        </w:tabs>
        <w:rPr>
          <w:rFonts w:asciiTheme="minorHAnsi" w:hAnsiTheme="minorHAnsi"/>
          <w:noProof/>
          <w:sz w:val="22"/>
        </w:rPr>
      </w:pPr>
      <w:r>
        <w:fldChar w:fldCharType="begin"/>
      </w:r>
      <w:r>
        <w:rPr>
          <w:rStyle w:val="Hyperlink"/>
        </w:rPr>
        <w:instrText xml:space="preserve"> HYPERLINK \l "_Toc256000027" </w:instrText>
      </w:r>
      <w:r>
        <w:fldChar w:fldCharType="separate"/>
      </w:r>
      <w:r>
        <w:rPr>
          <w:rStyle w:val="Hyperlink"/>
          <w:rFonts w:hint="eastAsia"/>
        </w:rPr>
        <w:t>（六）</w:t>
      </w:r>
      <w:r>
        <w:rPr>
          <w:rStyle w:val="Hyperlink"/>
          <w:rFonts w:asciiTheme="minorHAnsi" w:hAnsiTheme="minorHAnsi"/>
          <w:noProof/>
          <w:sz w:val="22"/>
        </w:rPr>
        <w:tab/>
      </w:r>
      <w:r>
        <w:rPr>
          <w:rStyle w:val="Hyperlink"/>
          <w:rFonts w:ascii="黑体" w:hAnsi="黑体" w:hint="eastAsia"/>
        </w:rPr>
        <w:t>监狱企业的证明文件（如有）</w:t>
      </w:r>
      <w:r>
        <w:rPr>
          <w:rStyle w:val="Hyperlink"/>
        </w:rPr>
        <w:tab/>
      </w:r>
      <w:r>
        <w:fldChar w:fldCharType="begin"/>
      </w:r>
      <w:r>
        <w:rPr>
          <w:rStyle w:val="Hyperlink"/>
        </w:rPr>
        <w:instrText xml:space="preserve"> PAGEREF _Toc256000027 \h </w:instrText>
      </w:r>
      <w:r>
        <w:fldChar w:fldCharType="separate"/>
      </w:r>
      <w:r>
        <w:rPr>
          <w:rStyle w:val="Hyperlink"/>
        </w:rPr>
        <w:t>57</w:t>
      </w:r>
      <w:r>
        <w:fldChar w:fldCharType="end"/>
      </w:r>
      <w:r>
        <w:fldChar w:fldCharType="end"/>
      </w:r>
    </w:p>
    <w:p>
      <w:pPr>
        <w:pStyle w:val="TOC2"/>
        <w:tabs>
          <w:tab w:val="left" w:pos="880"/>
          <w:tab w:val="right" w:leader="dot" w:pos="9170"/>
        </w:tabs>
        <w:rPr>
          <w:rFonts w:asciiTheme="minorHAnsi" w:hAnsiTheme="minorHAnsi"/>
          <w:noProof/>
          <w:sz w:val="22"/>
        </w:rPr>
      </w:pPr>
      <w:r>
        <w:fldChar w:fldCharType="begin"/>
      </w:r>
      <w:r>
        <w:rPr>
          <w:rStyle w:val="Hyperlink"/>
        </w:rPr>
        <w:instrText xml:space="preserve"> HYPERLINK \l "_Toc256000028" </w:instrText>
      </w:r>
      <w:r>
        <w:fldChar w:fldCharType="separate"/>
      </w:r>
      <w:r>
        <w:rPr>
          <w:rStyle w:val="Hyperlink"/>
          <w:rFonts w:hint="eastAsia"/>
        </w:rPr>
        <w:t>（七）</w:t>
      </w:r>
      <w:r>
        <w:rPr>
          <w:rStyle w:val="Hyperlink"/>
          <w:rFonts w:asciiTheme="minorHAnsi" w:hAnsiTheme="minorHAnsi"/>
          <w:noProof/>
          <w:sz w:val="22"/>
        </w:rPr>
        <w:tab/>
      </w:r>
      <w:r>
        <w:rPr>
          <w:rStyle w:val="Hyperlink"/>
          <w:rFonts w:ascii="黑体" w:hAnsi="黑体" w:hint="eastAsia"/>
        </w:rPr>
        <w:t>政策功能情况（如有）</w:t>
      </w:r>
      <w:r>
        <w:rPr>
          <w:rStyle w:val="Hyperlink"/>
        </w:rPr>
        <w:tab/>
      </w:r>
      <w:r>
        <w:fldChar w:fldCharType="begin"/>
      </w:r>
      <w:r>
        <w:rPr>
          <w:rStyle w:val="Hyperlink"/>
        </w:rPr>
        <w:instrText xml:space="preserve"> PAGEREF _Toc256000028 \h </w:instrText>
      </w:r>
      <w:r>
        <w:fldChar w:fldCharType="separate"/>
      </w:r>
      <w:r>
        <w:rPr>
          <w:rStyle w:val="Hyperlink"/>
        </w:rPr>
        <w:t>58</w:t>
      </w:r>
      <w:r>
        <w:fldChar w:fldCharType="end"/>
      </w:r>
      <w:r>
        <w:fldChar w:fldCharType="end"/>
      </w:r>
    </w:p>
    <w:p>
      <w:pPr>
        <w:pStyle w:val="TOC2"/>
        <w:tabs>
          <w:tab w:val="left" w:pos="880"/>
          <w:tab w:val="right" w:leader="dot" w:pos="9170"/>
        </w:tabs>
        <w:rPr>
          <w:rFonts w:asciiTheme="minorHAnsi" w:hAnsiTheme="minorHAnsi"/>
          <w:noProof/>
          <w:sz w:val="22"/>
        </w:rPr>
      </w:pPr>
      <w:r>
        <w:fldChar w:fldCharType="begin"/>
      </w:r>
      <w:r>
        <w:rPr>
          <w:rStyle w:val="Hyperlink"/>
        </w:rPr>
        <w:instrText xml:space="preserve"> HYPERLINK \l "_Toc256000029" </w:instrText>
      </w:r>
      <w:r>
        <w:fldChar w:fldCharType="separate"/>
      </w:r>
      <w:r>
        <w:rPr>
          <w:rStyle w:val="Hyperlink"/>
          <w:rFonts w:hint="eastAsia"/>
        </w:rPr>
        <w:t>（八）</w:t>
      </w:r>
      <w:r>
        <w:rPr>
          <w:rStyle w:val="Hyperlink"/>
          <w:rFonts w:asciiTheme="minorHAnsi" w:hAnsiTheme="minorHAnsi"/>
          <w:noProof/>
          <w:sz w:val="22"/>
        </w:rPr>
        <w:tab/>
      </w:r>
      <w:r>
        <w:rPr>
          <w:rStyle w:val="Hyperlink"/>
          <w:rFonts w:hint="eastAsia"/>
        </w:rPr>
        <w:t>投 标 函</w:t>
      </w:r>
      <w:r>
        <w:rPr>
          <w:rStyle w:val="Hyperlink"/>
        </w:rPr>
        <w:tab/>
      </w:r>
      <w:r>
        <w:fldChar w:fldCharType="begin"/>
      </w:r>
      <w:r>
        <w:rPr>
          <w:rStyle w:val="Hyperlink"/>
        </w:rPr>
        <w:instrText xml:space="preserve"> PAGEREF _Toc256000029 \h </w:instrText>
      </w:r>
      <w:r>
        <w:fldChar w:fldCharType="separate"/>
      </w:r>
      <w:r>
        <w:rPr>
          <w:rStyle w:val="Hyperlink"/>
        </w:rPr>
        <w:t>59</w:t>
      </w:r>
      <w:r>
        <w:fldChar w:fldCharType="end"/>
      </w:r>
      <w:r>
        <w:fldChar w:fldCharType="end"/>
      </w:r>
    </w:p>
    <w:p>
      <w:pPr>
        <w:pStyle w:val="TOC2"/>
        <w:tabs>
          <w:tab w:val="left" w:pos="880"/>
          <w:tab w:val="right" w:leader="dot" w:pos="9170"/>
        </w:tabs>
        <w:rPr>
          <w:rFonts w:asciiTheme="minorHAnsi" w:hAnsiTheme="minorHAnsi"/>
          <w:noProof/>
          <w:sz w:val="22"/>
        </w:rPr>
      </w:pPr>
      <w:r>
        <w:fldChar w:fldCharType="begin"/>
      </w:r>
      <w:r>
        <w:rPr>
          <w:rStyle w:val="Hyperlink"/>
        </w:rPr>
        <w:instrText xml:space="preserve"> HYPERLINK \l "_Toc256000030" </w:instrText>
      </w:r>
      <w:r>
        <w:fldChar w:fldCharType="separate"/>
      </w:r>
      <w:r>
        <w:rPr>
          <w:rStyle w:val="Hyperlink"/>
          <w:rFonts w:hint="eastAsia"/>
        </w:rPr>
        <w:t>（九）</w:t>
      </w:r>
      <w:r>
        <w:rPr>
          <w:rStyle w:val="Hyperlink"/>
          <w:rFonts w:asciiTheme="minorHAnsi" w:hAnsiTheme="minorHAnsi"/>
          <w:noProof/>
          <w:sz w:val="22"/>
        </w:rPr>
        <w:tab/>
      </w:r>
      <w:r>
        <w:rPr>
          <w:rStyle w:val="Hyperlink"/>
          <w:rFonts w:hint="eastAsia"/>
        </w:rPr>
        <w:t>政府采购投标及履约承诺函</w:t>
      </w:r>
      <w:r>
        <w:rPr>
          <w:rStyle w:val="Hyperlink"/>
        </w:rPr>
        <w:tab/>
      </w:r>
      <w:r>
        <w:fldChar w:fldCharType="begin"/>
      </w:r>
      <w:r>
        <w:rPr>
          <w:rStyle w:val="Hyperlink"/>
        </w:rPr>
        <w:instrText xml:space="preserve"> PAGEREF _Toc256000030 \h </w:instrText>
      </w:r>
      <w:r>
        <w:fldChar w:fldCharType="separate"/>
      </w:r>
      <w:r>
        <w:rPr>
          <w:rStyle w:val="Hyperlink"/>
        </w:rPr>
        <w:t>61</w:t>
      </w:r>
      <w:r>
        <w:fldChar w:fldCharType="end"/>
      </w:r>
      <w:r>
        <w:fldChar w:fldCharType="end"/>
      </w:r>
    </w:p>
    <w:p>
      <w:pPr>
        <w:pStyle w:val="TOC2"/>
        <w:tabs>
          <w:tab w:val="left" w:pos="880"/>
          <w:tab w:val="right" w:leader="dot" w:pos="9170"/>
        </w:tabs>
        <w:rPr>
          <w:rFonts w:asciiTheme="minorHAnsi" w:hAnsiTheme="minorHAnsi"/>
          <w:noProof/>
          <w:sz w:val="22"/>
        </w:rPr>
      </w:pPr>
      <w:r>
        <w:fldChar w:fldCharType="begin"/>
      </w:r>
      <w:r>
        <w:rPr>
          <w:rStyle w:val="Hyperlink"/>
        </w:rPr>
        <w:instrText xml:space="preserve"> HYPERLINK \l "_Toc256000031" </w:instrText>
      </w:r>
      <w:r>
        <w:fldChar w:fldCharType="separate"/>
      </w:r>
      <w:r>
        <w:rPr>
          <w:rStyle w:val="Hyperlink"/>
          <w:rFonts w:hint="eastAsia"/>
        </w:rPr>
        <w:t>（十）</w:t>
      </w:r>
      <w:r>
        <w:rPr>
          <w:rStyle w:val="Hyperlink"/>
          <w:rFonts w:asciiTheme="minorHAnsi" w:hAnsiTheme="minorHAnsi"/>
          <w:noProof/>
          <w:sz w:val="22"/>
        </w:rPr>
        <w:tab/>
      </w:r>
      <w:r>
        <w:rPr>
          <w:rStyle w:val="Hyperlink"/>
          <w:rFonts w:hint="eastAsia"/>
        </w:rPr>
        <w:t>知识产权合规性承诺</w:t>
      </w:r>
      <w:r>
        <w:rPr>
          <w:rStyle w:val="Hyperlink"/>
        </w:rPr>
        <w:tab/>
      </w:r>
      <w:r>
        <w:fldChar w:fldCharType="begin"/>
      </w:r>
      <w:r>
        <w:rPr>
          <w:rStyle w:val="Hyperlink"/>
        </w:rPr>
        <w:instrText xml:space="preserve"> PAGEREF _Toc256000031 \h </w:instrText>
      </w:r>
      <w:r>
        <w:fldChar w:fldCharType="separate"/>
      </w:r>
      <w:r>
        <w:rPr>
          <w:rStyle w:val="Hyperlink"/>
        </w:rPr>
        <w:t>62</w:t>
      </w:r>
      <w:r>
        <w:fldChar w:fldCharType="end"/>
      </w:r>
      <w:r>
        <w:fldChar w:fldCharType="end"/>
      </w:r>
    </w:p>
    <w:p>
      <w:pPr>
        <w:pStyle w:val="TOC2"/>
        <w:tabs>
          <w:tab w:val="left" w:pos="1100"/>
          <w:tab w:val="right" w:leader="dot" w:pos="9170"/>
        </w:tabs>
        <w:rPr>
          <w:rFonts w:asciiTheme="minorHAnsi" w:hAnsiTheme="minorHAnsi"/>
          <w:noProof/>
          <w:sz w:val="22"/>
        </w:rPr>
      </w:pPr>
      <w:r>
        <w:fldChar w:fldCharType="begin"/>
      </w:r>
      <w:r>
        <w:rPr>
          <w:rStyle w:val="Hyperlink"/>
        </w:rPr>
        <w:instrText xml:space="preserve"> HYPERLINK \l "_Toc256000032" </w:instrText>
      </w:r>
      <w:r>
        <w:fldChar w:fldCharType="separate"/>
      </w:r>
      <w:r>
        <w:rPr>
          <w:rStyle w:val="Hyperlink"/>
          <w:rFonts w:hint="eastAsia"/>
        </w:rPr>
        <w:t>（十一）</w:t>
      </w:r>
      <w:r>
        <w:rPr>
          <w:rStyle w:val="Hyperlink"/>
          <w:rFonts w:asciiTheme="minorHAnsi" w:hAnsiTheme="minorHAnsi"/>
          <w:noProof/>
          <w:sz w:val="22"/>
        </w:rPr>
        <w:tab/>
      </w:r>
      <w:r>
        <w:rPr>
          <w:rStyle w:val="Hyperlink"/>
          <w:rFonts w:hint="eastAsia"/>
        </w:rPr>
        <w:t>承诺</w:t>
      </w:r>
      <w:r>
        <w:rPr>
          <w:rStyle w:val="Hyperlink"/>
          <w:rFonts w:hint="eastAsia"/>
        </w:rPr>
        <w:t>函</w:t>
      </w:r>
      <w:r>
        <w:rPr>
          <w:rStyle w:val="Hyperlink"/>
        </w:rPr>
        <w:tab/>
      </w:r>
      <w:r>
        <w:fldChar w:fldCharType="begin"/>
      </w:r>
      <w:r>
        <w:rPr>
          <w:rStyle w:val="Hyperlink"/>
        </w:rPr>
        <w:instrText xml:space="preserve"> PAGEREF _Toc256000032 \h </w:instrText>
      </w:r>
      <w:r>
        <w:fldChar w:fldCharType="separate"/>
      </w:r>
      <w:r>
        <w:rPr>
          <w:rStyle w:val="Hyperlink"/>
        </w:rPr>
        <w:t>63</w:t>
      </w:r>
      <w:r>
        <w:fldChar w:fldCharType="end"/>
      </w:r>
      <w:r>
        <w:fldChar w:fldCharType="end"/>
      </w:r>
    </w:p>
    <w:p>
      <w:pPr>
        <w:pStyle w:val="TOC2"/>
        <w:tabs>
          <w:tab w:val="left" w:pos="1100"/>
          <w:tab w:val="right" w:leader="dot" w:pos="9170"/>
        </w:tabs>
        <w:rPr>
          <w:rFonts w:asciiTheme="minorHAnsi" w:hAnsiTheme="minorHAnsi"/>
          <w:noProof/>
          <w:sz w:val="22"/>
        </w:rPr>
      </w:pPr>
      <w:r>
        <w:fldChar w:fldCharType="begin"/>
      </w:r>
      <w:r>
        <w:rPr>
          <w:rStyle w:val="Hyperlink"/>
        </w:rPr>
        <w:instrText xml:space="preserve"> HYPERLINK \l "_Toc256000033" </w:instrText>
      </w:r>
      <w:r>
        <w:fldChar w:fldCharType="separate"/>
      </w:r>
      <w:r>
        <w:rPr>
          <w:rStyle w:val="Hyperlink"/>
          <w:rFonts w:hint="eastAsia"/>
        </w:rPr>
        <w:t>（十二）</w:t>
      </w:r>
      <w:r>
        <w:rPr>
          <w:rStyle w:val="Hyperlink"/>
          <w:rFonts w:asciiTheme="minorHAnsi" w:hAnsiTheme="minorHAnsi"/>
          <w:noProof/>
          <w:sz w:val="22"/>
        </w:rPr>
        <w:tab/>
      </w:r>
      <w:r>
        <w:rPr>
          <w:rStyle w:val="Hyperlink"/>
          <w:rFonts w:hint="eastAsia"/>
        </w:rPr>
        <w:t>主要股东或出资人信息</w:t>
      </w:r>
      <w:r>
        <w:rPr>
          <w:rStyle w:val="Hyperlink"/>
        </w:rPr>
        <w:tab/>
      </w:r>
      <w:r>
        <w:fldChar w:fldCharType="begin"/>
      </w:r>
      <w:r>
        <w:rPr>
          <w:rStyle w:val="Hyperlink"/>
        </w:rPr>
        <w:instrText xml:space="preserve"> PAGEREF _Toc256000033 \h </w:instrText>
      </w:r>
      <w:r>
        <w:fldChar w:fldCharType="separate"/>
      </w:r>
      <w:r>
        <w:rPr>
          <w:rStyle w:val="Hyperlink"/>
        </w:rPr>
        <w:t>64</w:t>
      </w:r>
      <w:r>
        <w:fldChar w:fldCharType="end"/>
      </w:r>
      <w:r>
        <w:fldChar w:fldCharType="end"/>
      </w:r>
    </w:p>
    <w:p>
      <w:pPr>
        <w:pStyle w:val="TOC2"/>
        <w:tabs>
          <w:tab w:val="left" w:pos="1100"/>
          <w:tab w:val="right" w:leader="dot" w:pos="9170"/>
        </w:tabs>
        <w:rPr>
          <w:rFonts w:asciiTheme="minorHAnsi" w:hAnsiTheme="minorHAnsi"/>
          <w:noProof/>
          <w:sz w:val="22"/>
        </w:rPr>
      </w:pPr>
      <w:r>
        <w:fldChar w:fldCharType="begin"/>
      </w:r>
      <w:r>
        <w:rPr>
          <w:rStyle w:val="Hyperlink"/>
        </w:rPr>
        <w:instrText xml:space="preserve"> HYPERLINK \l "_Toc256000034" </w:instrText>
      </w:r>
      <w:r>
        <w:fldChar w:fldCharType="separate"/>
      </w:r>
      <w:r>
        <w:rPr>
          <w:rStyle w:val="Hyperlink"/>
          <w:rFonts w:hint="eastAsia"/>
        </w:rPr>
        <w:t>（十三）</w:t>
      </w:r>
      <w:r>
        <w:rPr>
          <w:rStyle w:val="Hyperlink"/>
          <w:rFonts w:asciiTheme="minorHAnsi" w:hAnsiTheme="minorHAnsi"/>
          <w:noProof/>
          <w:sz w:val="22"/>
        </w:rPr>
        <w:tab/>
      </w:r>
      <w:r>
        <w:rPr>
          <w:rStyle w:val="Hyperlink"/>
          <w:rFonts w:ascii="宋体" w:hAnsi="宋体" w:hint="eastAsia"/>
        </w:rPr>
        <w:t>声明函</w:t>
      </w:r>
      <w:r>
        <w:rPr>
          <w:rStyle w:val="Hyperlink"/>
        </w:rPr>
        <w:tab/>
      </w:r>
      <w:r>
        <w:fldChar w:fldCharType="begin"/>
      </w:r>
      <w:r>
        <w:rPr>
          <w:rStyle w:val="Hyperlink"/>
        </w:rPr>
        <w:instrText xml:space="preserve"> PAGEREF _Toc256000034 \h </w:instrText>
      </w:r>
      <w:r>
        <w:fldChar w:fldCharType="separate"/>
      </w:r>
      <w:r>
        <w:rPr>
          <w:rStyle w:val="Hyperlink"/>
        </w:rPr>
        <w:t>65</w:t>
      </w:r>
      <w:r>
        <w:fldChar w:fldCharType="end"/>
      </w:r>
      <w:r>
        <w:fldChar w:fldCharType="end"/>
      </w:r>
    </w:p>
    <w:p>
      <w:pPr>
        <w:pStyle w:val="TOC2"/>
        <w:tabs>
          <w:tab w:val="left" w:pos="1100"/>
          <w:tab w:val="right" w:leader="dot" w:pos="9170"/>
        </w:tabs>
        <w:rPr>
          <w:rFonts w:asciiTheme="minorHAnsi" w:hAnsiTheme="minorHAnsi"/>
          <w:noProof/>
          <w:sz w:val="22"/>
        </w:rPr>
      </w:pPr>
      <w:r>
        <w:fldChar w:fldCharType="begin"/>
      </w:r>
      <w:r>
        <w:rPr>
          <w:rStyle w:val="Hyperlink"/>
        </w:rPr>
        <w:instrText xml:space="preserve"> HYPERLINK \l "_Toc256000035" </w:instrText>
      </w:r>
      <w:r>
        <w:fldChar w:fldCharType="separate"/>
      </w:r>
      <w:r>
        <w:rPr>
          <w:rStyle w:val="Hyperlink"/>
          <w:rFonts w:hint="eastAsia"/>
        </w:rPr>
        <w:t>（十四）</w:t>
      </w:r>
      <w:r>
        <w:rPr>
          <w:rStyle w:val="Hyperlink"/>
          <w:rFonts w:asciiTheme="minorHAnsi" w:hAnsiTheme="minorHAnsi"/>
          <w:noProof/>
          <w:sz w:val="22"/>
        </w:rPr>
        <w:tab/>
      </w:r>
      <w:r>
        <w:rPr>
          <w:rStyle w:val="Hyperlink"/>
          <w:rFonts w:hint="eastAsia"/>
        </w:rPr>
        <w:t>投标人通过相关认证情况</w:t>
      </w:r>
      <w:r>
        <w:rPr>
          <w:rStyle w:val="Hyperlink"/>
        </w:rPr>
        <w:tab/>
      </w:r>
      <w:r>
        <w:fldChar w:fldCharType="begin"/>
      </w:r>
      <w:r>
        <w:rPr>
          <w:rStyle w:val="Hyperlink"/>
        </w:rPr>
        <w:instrText xml:space="preserve"> PAGEREF _Toc256000035 \h </w:instrText>
      </w:r>
      <w:r>
        <w:fldChar w:fldCharType="separate"/>
      </w:r>
      <w:r>
        <w:rPr>
          <w:rStyle w:val="Hyperlink"/>
        </w:rPr>
        <w:t>66</w:t>
      </w:r>
      <w:r>
        <w:fldChar w:fldCharType="end"/>
      </w:r>
      <w:r>
        <w:fldChar w:fldCharType="end"/>
      </w:r>
    </w:p>
    <w:p>
      <w:pPr>
        <w:pStyle w:val="TOC2"/>
        <w:tabs>
          <w:tab w:val="left" w:pos="1100"/>
          <w:tab w:val="right" w:leader="dot" w:pos="9170"/>
        </w:tabs>
        <w:rPr>
          <w:rFonts w:asciiTheme="minorHAnsi" w:hAnsiTheme="minorHAnsi"/>
          <w:noProof/>
          <w:sz w:val="22"/>
        </w:rPr>
      </w:pPr>
      <w:r>
        <w:fldChar w:fldCharType="begin"/>
      </w:r>
      <w:r>
        <w:rPr>
          <w:rStyle w:val="Hyperlink"/>
        </w:rPr>
        <w:instrText xml:space="preserve"> HYPERLINK \l "_Toc256000036" </w:instrText>
      </w:r>
      <w:r>
        <w:fldChar w:fldCharType="separate"/>
      </w:r>
      <w:r>
        <w:rPr>
          <w:rStyle w:val="Hyperlink"/>
          <w:rFonts w:hint="eastAsia"/>
        </w:rPr>
        <w:t>（十五）</w:t>
      </w:r>
      <w:r>
        <w:rPr>
          <w:rStyle w:val="Hyperlink"/>
          <w:rFonts w:asciiTheme="minorHAnsi" w:hAnsiTheme="minorHAnsi"/>
          <w:noProof/>
          <w:sz w:val="22"/>
        </w:rPr>
        <w:tab/>
      </w:r>
      <w:r>
        <w:rPr>
          <w:rStyle w:val="Hyperlink"/>
          <w:rFonts w:hint="eastAsia"/>
        </w:rPr>
        <w:t>同类项目情况一览表</w:t>
      </w:r>
      <w:r>
        <w:rPr>
          <w:rStyle w:val="Hyperlink"/>
        </w:rPr>
        <w:tab/>
      </w:r>
      <w:r>
        <w:fldChar w:fldCharType="begin"/>
      </w:r>
      <w:r>
        <w:rPr>
          <w:rStyle w:val="Hyperlink"/>
        </w:rPr>
        <w:instrText xml:space="preserve"> PAGEREF _Toc256000036 \h </w:instrText>
      </w:r>
      <w:r>
        <w:fldChar w:fldCharType="separate"/>
      </w:r>
      <w:r>
        <w:rPr>
          <w:rStyle w:val="Hyperlink"/>
        </w:rPr>
        <w:t>67</w:t>
      </w:r>
      <w:r>
        <w:fldChar w:fldCharType="end"/>
      </w:r>
      <w:r>
        <w:fldChar w:fldCharType="end"/>
      </w:r>
    </w:p>
    <w:p>
      <w:pPr>
        <w:pStyle w:val="TOC2"/>
        <w:tabs>
          <w:tab w:val="left" w:pos="1100"/>
          <w:tab w:val="right" w:leader="dot" w:pos="9170"/>
        </w:tabs>
        <w:rPr>
          <w:rFonts w:asciiTheme="minorHAnsi" w:hAnsiTheme="minorHAnsi"/>
          <w:noProof/>
          <w:sz w:val="22"/>
        </w:rPr>
      </w:pPr>
      <w:r>
        <w:fldChar w:fldCharType="begin"/>
      </w:r>
      <w:r>
        <w:rPr>
          <w:rStyle w:val="Hyperlink"/>
        </w:rPr>
        <w:instrText xml:space="preserve"> HYPERLINK \l "_Toc256000037" </w:instrText>
      </w:r>
      <w:r>
        <w:fldChar w:fldCharType="separate"/>
      </w:r>
      <w:r>
        <w:rPr>
          <w:rStyle w:val="Hyperlink"/>
          <w:rFonts w:hint="eastAsia"/>
        </w:rPr>
        <w:t>（十六）</w:t>
      </w:r>
      <w:r>
        <w:rPr>
          <w:rStyle w:val="Hyperlink"/>
          <w:rFonts w:asciiTheme="minorHAnsi" w:hAnsiTheme="minorHAnsi"/>
          <w:noProof/>
          <w:sz w:val="22"/>
        </w:rPr>
        <w:tab/>
      </w:r>
      <w:r>
        <w:rPr>
          <w:rStyle w:val="Hyperlink"/>
          <w:rFonts w:hint="eastAsia"/>
        </w:rPr>
        <w:t>投标人获奖情况</w:t>
      </w:r>
      <w:r>
        <w:rPr>
          <w:rStyle w:val="Hyperlink"/>
        </w:rPr>
        <w:tab/>
      </w:r>
      <w:r>
        <w:fldChar w:fldCharType="begin"/>
      </w:r>
      <w:r>
        <w:rPr>
          <w:rStyle w:val="Hyperlink"/>
        </w:rPr>
        <w:instrText xml:space="preserve"> PAGEREF _Toc256000037 \h </w:instrText>
      </w:r>
      <w:r>
        <w:fldChar w:fldCharType="separate"/>
      </w:r>
      <w:r>
        <w:rPr>
          <w:rStyle w:val="Hyperlink"/>
        </w:rPr>
        <w:t>68</w:t>
      </w:r>
      <w:r>
        <w:fldChar w:fldCharType="end"/>
      </w:r>
      <w:r>
        <w:fldChar w:fldCharType="end"/>
      </w:r>
    </w:p>
    <w:p>
      <w:pPr>
        <w:pStyle w:val="TOC2"/>
        <w:tabs>
          <w:tab w:val="left" w:pos="1100"/>
          <w:tab w:val="right" w:leader="dot" w:pos="9170"/>
        </w:tabs>
        <w:rPr>
          <w:rFonts w:asciiTheme="minorHAnsi" w:hAnsiTheme="minorHAnsi"/>
          <w:noProof/>
          <w:sz w:val="22"/>
        </w:rPr>
      </w:pPr>
      <w:r>
        <w:fldChar w:fldCharType="begin"/>
      </w:r>
      <w:r>
        <w:rPr>
          <w:rStyle w:val="Hyperlink"/>
        </w:rPr>
        <w:instrText xml:space="preserve"> HYPERLINK \l "_Toc256000038" </w:instrText>
      </w:r>
      <w:r>
        <w:fldChar w:fldCharType="separate"/>
      </w:r>
      <w:r>
        <w:rPr>
          <w:rStyle w:val="Hyperlink"/>
          <w:rFonts w:hint="eastAsia"/>
        </w:rPr>
        <w:t>（十七）</w:t>
      </w:r>
      <w:r>
        <w:rPr>
          <w:rStyle w:val="Hyperlink"/>
          <w:rFonts w:asciiTheme="minorHAnsi" w:hAnsiTheme="minorHAnsi"/>
          <w:noProof/>
          <w:sz w:val="22"/>
        </w:rPr>
        <w:tab/>
      </w:r>
      <w:r>
        <w:rPr>
          <w:rStyle w:val="Hyperlink"/>
          <w:rFonts w:hint="eastAsia"/>
        </w:rPr>
        <w:t>项目团队人员一览表</w:t>
      </w:r>
      <w:r>
        <w:rPr>
          <w:rStyle w:val="Hyperlink"/>
        </w:rPr>
        <w:tab/>
      </w:r>
      <w:r>
        <w:fldChar w:fldCharType="begin"/>
      </w:r>
      <w:r>
        <w:rPr>
          <w:rStyle w:val="Hyperlink"/>
        </w:rPr>
        <w:instrText xml:space="preserve"> PAGEREF _Toc256000038 \h </w:instrText>
      </w:r>
      <w:r>
        <w:fldChar w:fldCharType="separate"/>
      </w:r>
      <w:r>
        <w:rPr>
          <w:rStyle w:val="Hyperlink"/>
        </w:rPr>
        <w:t>69</w:t>
      </w:r>
      <w:r>
        <w:fldChar w:fldCharType="end"/>
      </w:r>
      <w:r>
        <w:fldChar w:fldCharType="end"/>
      </w:r>
    </w:p>
    <w:p>
      <w:pPr>
        <w:pStyle w:val="TOC2"/>
        <w:tabs>
          <w:tab w:val="left" w:pos="1100"/>
          <w:tab w:val="right" w:leader="dot" w:pos="9170"/>
        </w:tabs>
        <w:rPr>
          <w:rFonts w:asciiTheme="minorHAnsi" w:hAnsiTheme="minorHAnsi"/>
          <w:noProof/>
          <w:sz w:val="22"/>
        </w:rPr>
      </w:pPr>
      <w:r>
        <w:fldChar w:fldCharType="begin"/>
      </w:r>
      <w:r>
        <w:rPr>
          <w:rStyle w:val="Hyperlink"/>
        </w:rPr>
        <w:instrText xml:space="preserve"> HYPERLINK \l "_Toc256000039" </w:instrText>
      </w:r>
      <w:r>
        <w:fldChar w:fldCharType="separate"/>
      </w:r>
      <w:r>
        <w:rPr>
          <w:rStyle w:val="Hyperlink"/>
          <w:rFonts w:hint="eastAsia"/>
        </w:rPr>
        <w:t>（十八）</w:t>
      </w:r>
      <w:r>
        <w:rPr>
          <w:rStyle w:val="Hyperlink"/>
          <w:rFonts w:asciiTheme="minorHAnsi" w:hAnsiTheme="minorHAnsi"/>
          <w:noProof/>
          <w:sz w:val="22"/>
        </w:rPr>
        <w:tab/>
      </w:r>
      <w:r>
        <w:rPr>
          <w:rStyle w:val="Hyperlink"/>
          <w:rFonts w:hint="eastAsia"/>
        </w:rPr>
        <w:t>投标人自主知识产权产品（创新、设计）情况</w:t>
      </w:r>
      <w:r>
        <w:rPr>
          <w:rStyle w:val="Hyperlink"/>
        </w:rPr>
        <w:tab/>
      </w:r>
      <w:r>
        <w:fldChar w:fldCharType="begin"/>
      </w:r>
      <w:r>
        <w:rPr>
          <w:rStyle w:val="Hyperlink"/>
        </w:rPr>
        <w:instrText xml:space="preserve"> PAGEREF _Toc256000039 \h </w:instrText>
      </w:r>
      <w:r>
        <w:fldChar w:fldCharType="separate"/>
      </w:r>
      <w:r>
        <w:rPr>
          <w:rStyle w:val="Hyperlink"/>
        </w:rPr>
        <w:t>70</w:t>
      </w:r>
      <w:r>
        <w:fldChar w:fldCharType="end"/>
      </w:r>
      <w:r>
        <w:fldChar w:fldCharType="end"/>
      </w:r>
    </w:p>
    <w:p>
      <w:pPr>
        <w:pStyle w:val="TOC2"/>
        <w:tabs>
          <w:tab w:val="left" w:pos="1100"/>
          <w:tab w:val="right" w:leader="dot" w:pos="9170"/>
        </w:tabs>
        <w:rPr>
          <w:rFonts w:asciiTheme="minorHAnsi" w:hAnsiTheme="minorHAnsi"/>
          <w:noProof/>
          <w:sz w:val="22"/>
        </w:rPr>
      </w:pPr>
      <w:r>
        <w:fldChar w:fldCharType="begin"/>
      </w:r>
      <w:r>
        <w:rPr>
          <w:rStyle w:val="Hyperlink"/>
        </w:rPr>
        <w:instrText xml:space="preserve"> HYPERLINK \l "_Toc256000040" </w:instrText>
      </w:r>
      <w:r>
        <w:fldChar w:fldCharType="separate"/>
      </w:r>
      <w:r>
        <w:rPr>
          <w:rStyle w:val="Hyperlink"/>
          <w:rFonts w:hint="eastAsia"/>
        </w:rPr>
        <w:t>（十九）</w:t>
      </w:r>
      <w:r>
        <w:rPr>
          <w:rStyle w:val="Hyperlink"/>
          <w:rFonts w:asciiTheme="minorHAnsi" w:hAnsiTheme="minorHAnsi"/>
          <w:noProof/>
          <w:sz w:val="22"/>
        </w:rPr>
        <w:tab/>
      </w:r>
      <w:r>
        <w:rPr>
          <w:rStyle w:val="Hyperlink"/>
          <w:rFonts w:hint="eastAsia"/>
        </w:rPr>
        <w:t>服务质量保障</w:t>
      </w:r>
      <w:r>
        <w:rPr>
          <w:rStyle w:val="Hyperlink"/>
        </w:rPr>
        <w:tab/>
      </w:r>
      <w:r>
        <w:fldChar w:fldCharType="begin"/>
      </w:r>
      <w:r>
        <w:rPr>
          <w:rStyle w:val="Hyperlink"/>
        </w:rPr>
        <w:instrText xml:space="preserve"> PAGEREF _Toc256000040 \h </w:instrText>
      </w:r>
      <w:r>
        <w:fldChar w:fldCharType="separate"/>
      </w:r>
      <w:r>
        <w:rPr>
          <w:rStyle w:val="Hyperlink"/>
        </w:rPr>
        <w:t>71</w:t>
      </w:r>
      <w:r>
        <w:fldChar w:fldCharType="end"/>
      </w:r>
      <w:r>
        <w:fldChar w:fldCharType="end"/>
      </w:r>
    </w:p>
    <w:p>
      <w:pPr>
        <w:pStyle w:val="TOC2"/>
        <w:tabs>
          <w:tab w:val="left" w:pos="1100"/>
          <w:tab w:val="right" w:leader="dot" w:pos="9170"/>
        </w:tabs>
        <w:rPr>
          <w:rFonts w:asciiTheme="minorHAnsi" w:hAnsiTheme="minorHAnsi"/>
          <w:noProof/>
          <w:sz w:val="22"/>
        </w:rPr>
      </w:pPr>
      <w:r>
        <w:fldChar w:fldCharType="begin"/>
      </w:r>
      <w:r>
        <w:rPr>
          <w:rStyle w:val="Hyperlink"/>
        </w:rPr>
        <w:instrText xml:space="preserve"> HYPERLINK \l "_Toc256000041" </w:instrText>
      </w:r>
      <w:r>
        <w:fldChar w:fldCharType="separate"/>
      </w:r>
      <w:r>
        <w:rPr>
          <w:rStyle w:val="Hyperlink"/>
          <w:rFonts w:hint="eastAsia"/>
        </w:rPr>
        <w:t>（二十）</w:t>
      </w:r>
      <w:r>
        <w:rPr>
          <w:rStyle w:val="Hyperlink"/>
          <w:rFonts w:asciiTheme="minorHAnsi" w:hAnsiTheme="minorHAnsi"/>
          <w:noProof/>
          <w:sz w:val="22"/>
        </w:rPr>
        <w:tab/>
      </w:r>
      <w:r>
        <w:rPr>
          <w:rStyle w:val="Hyperlink"/>
          <w:rFonts w:hint="eastAsia"/>
        </w:rPr>
        <w:t>项目拟使用的车辆情况</w:t>
      </w:r>
      <w:r>
        <w:rPr>
          <w:rStyle w:val="Hyperlink"/>
        </w:rPr>
        <w:tab/>
      </w:r>
      <w:r>
        <w:fldChar w:fldCharType="begin"/>
      </w:r>
      <w:r>
        <w:rPr>
          <w:rStyle w:val="Hyperlink"/>
        </w:rPr>
        <w:instrText xml:space="preserve"> PAGEREF _Toc256000041 \h </w:instrText>
      </w:r>
      <w:r>
        <w:fldChar w:fldCharType="separate"/>
      </w:r>
      <w:r>
        <w:rPr>
          <w:rStyle w:val="Hyperlink"/>
        </w:rPr>
        <w:t>72</w:t>
      </w:r>
      <w:r>
        <w:fldChar w:fldCharType="end"/>
      </w:r>
      <w:r>
        <w:fldChar w:fldCharType="end"/>
      </w:r>
    </w:p>
    <w:p>
      <w:pPr>
        <w:pStyle w:val="TOC2"/>
        <w:tabs>
          <w:tab w:val="left" w:pos="1320"/>
          <w:tab w:val="right" w:leader="dot" w:pos="9170"/>
        </w:tabs>
        <w:rPr>
          <w:rFonts w:asciiTheme="minorHAnsi" w:hAnsiTheme="minorHAnsi"/>
          <w:noProof/>
          <w:sz w:val="22"/>
        </w:rPr>
      </w:pPr>
      <w:r>
        <w:fldChar w:fldCharType="begin"/>
      </w:r>
      <w:r>
        <w:rPr>
          <w:rStyle w:val="Hyperlink"/>
        </w:rPr>
        <w:instrText xml:space="preserve"> HYPERLINK \l "_Toc256000042" </w:instrText>
      </w:r>
      <w:r>
        <w:fldChar w:fldCharType="separate"/>
      </w:r>
      <w:r>
        <w:rPr>
          <w:rStyle w:val="Hyperlink"/>
          <w:rFonts w:hint="eastAsia"/>
        </w:rPr>
        <w:t>（二十一）</w:t>
      </w:r>
      <w:r>
        <w:rPr>
          <w:rStyle w:val="Hyperlink"/>
          <w:rFonts w:asciiTheme="minorHAnsi" w:hAnsiTheme="minorHAnsi"/>
          <w:noProof/>
          <w:sz w:val="22"/>
        </w:rPr>
        <w:tab/>
      </w:r>
      <w:r>
        <w:rPr>
          <w:rStyle w:val="Hyperlink"/>
          <w:rFonts w:hint="eastAsia"/>
        </w:rPr>
        <w:t>开票资料说明函</w:t>
      </w:r>
      <w:r>
        <w:rPr>
          <w:rStyle w:val="Hyperlink"/>
        </w:rPr>
        <w:tab/>
      </w:r>
      <w:r>
        <w:fldChar w:fldCharType="begin"/>
      </w:r>
      <w:r>
        <w:rPr>
          <w:rStyle w:val="Hyperlink"/>
        </w:rPr>
        <w:instrText xml:space="preserve"> PAGEREF _Toc256000042 \h </w:instrText>
      </w:r>
      <w:r>
        <w:fldChar w:fldCharType="separate"/>
      </w:r>
      <w:r>
        <w:rPr>
          <w:rStyle w:val="Hyperlink"/>
        </w:rPr>
        <w:t>73</w:t>
      </w:r>
      <w:r>
        <w:fldChar w:fldCharType="end"/>
      </w:r>
      <w:r>
        <w:fldChar w:fldCharType="end"/>
      </w:r>
    </w:p>
    <w:p>
      <w:pPr>
        <w:pStyle w:val="TOC2"/>
        <w:tabs>
          <w:tab w:val="left" w:pos="1320"/>
          <w:tab w:val="right" w:leader="dot" w:pos="9170"/>
        </w:tabs>
        <w:rPr>
          <w:rFonts w:asciiTheme="minorHAnsi" w:hAnsiTheme="minorHAnsi"/>
          <w:noProof/>
          <w:sz w:val="22"/>
        </w:rPr>
      </w:pPr>
      <w:r>
        <w:fldChar w:fldCharType="begin"/>
      </w:r>
      <w:r>
        <w:rPr>
          <w:rStyle w:val="Hyperlink"/>
        </w:rPr>
        <w:instrText xml:space="preserve"> HYPERLINK \l "_Toc256000043" </w:instrText>
      </w:r>
      <w:r>
        <w:fldChar w:fldCharType="separate"/>
      </w:r>
      <w:r>
        <w:rPr>
          <w:rStyle w:val="Hyperlink"/>
          <w:rFonts w:hint="eastAsia"/>
        </w:rPr>
        <w:t>（二十二）</w:t>
      </w:r>
      <w:r>
        <w:rPr>
          <w:rStyle w:val="Hyperlink"/>
          <w:rFonts w:asciiTheme="minorHAnsi" w:hAnsiTheme="minorHAnsi"/>
          <w:noProof/>
          <w:sz w:val="22"/>
        </w:rPr>
        <w:tab/>
      </w:r>
      <w:r>
        <w:rPr>
          <w:rStyle w:val="Hyperlink"/>
          <w:rFonts w:hint="eastAsia"/>
        </w:rPr>
        <w:t>采购代理服务费承诺书</w:t>
      </w:r>
      <w:r>
        <w:rPr>
          <w:rStyle w:val="Hyperlink"/>
        </w:rPr>
        <w:tab/>
      </w:r>
      <w:r>
        <w:fldChar w:fldCharType="begin"/>
      </w:r>
      <w:r>
        <w:rPr>
          <w:rStyle w:val="Hyperlink"/>
        </w:rPr>
        <w:instrText xml:space="preserve"> PAGEREF _Toc256000043 \h </w:instrText>
      </w:r>
      <w:r>
        <w:fldChar w:fldCharType="separate"/>
      </w:r>
      <w:r>
        <w:rPr>
          <w:rStyle w:val="Hyperlink"/>
        </w:rPr>
        <w:t>74</w:t>
      </w:r>
      <w:r>
        <w:fldChar w:fldCharType="end"/>
      </w:r>
      <w:r>
        <w:fldChar w:fldCharType="end"/>
      </w:r>
    </w:p>
    <w:p>
      <w:pPr>
        <w:pStyle w:val="TOC2"/>
        <w:tabs>
          <w:tab w:val="left" w:pos="1320"/>
          <w:tab w:val="right" w:leader="dot" w:pos="9170"/>
        </w:tabs>
        <w:rPr>
          <w:rFonts w:asciiTheme="minorHAnsi" w:hAnsiTheme="minorHAnsi"/>
          <w:noProof/>
          <w:sz w:val="22"/>
        </w:rPr>
      </w:pPr>
      <w:r>
        <w:fldChar w:fldCharType="begin"/>
      </w:r>
      <w:r>
        <w:rPr>
          <w:rStyle w:val="Hyperlink"/>
        </w:rPr>
        <w:instrText xml:space="preserve"> HYPERLINK \l "_Toc256000044" </w:instrText>
      </w:r>
      <w:r>
        <w:fldChar w:fldCharType="separate"/>
      </w:r>
      <w:r>
        <w:rPr>
          <w:rStyle w:val="Hyperlink"/>
          <w:rFonts w:hint="eastAsia"/>
        </w:rPr>
        <w:t>（二十三）</w:t>
      </w:r>
      <w:r>
        <w:rPr>
          <w:rStyle w:val="Hyperlink"/>
          <w:rFonts w:asciiTheme="minorHAnsi" w:hAnsiTheme="minorHAnsi"/>
          <w:noProof/>
          <w:sz w:val="22"/>
        </w:rPr>
        <w:tab/>
      </w:r>
      <w:r>
        <w:rPr>
          <w:rStyle w:val="Hyperlink"/>
          <w:rFonts w:hint="eastAsia"/>
        </w:rPr>
        <w:t>投标人认为需要加以说明的其他内容</w:t>
      </w:r>
      <w:r>
        <w:rPr>
          <w:rStyle w:val="Hyperlink"/>
        </w:rPr>
        <w:tab/>
      </w:r>
      <w:r>
        <w:fldChar w:fldCharType="begin"/>
      </w:r>
      <w:r>
        <w:rPr>
          <w:rStyle w:val="Hyperlink"/>
        </w:rPr>
        <w:instrText xml:space="preserve"> PAGEREF _Toc256000044 \h </w:instrText>
      </w:r>
      <w:r>
        <w:fldChar w:fldCharType="separate"/>
      </w:r>
      <w:r>
        <w:rPr>
          <w:rStyle w:val="Hyperlink"/>
        </w:rPr>
        <w:t>75</w:t>
      </w:r>
      <w:r>
        <w:fldChar w:fldCharType="end"/>
      </w:r>
      <w:r>
        <w:fldChar w:fldCharType="end"/>
      </w:r>
    </w:p>
    <w:p>
      <w:pPr>
        <w:pStyle w:val="TOC2"/>
        <w:tabs>
          <w:tab w:val="left" w:pos="1320"/>
          <w:tab w:val="right" w:leader="dot" w:pos="9170"/>
        </w:tabs>
        <w:rPr>
          <w:rFonts w:asciiTheme="minorHAnsi" w:hAnsiTheme="minorHAnsi"/>
          <w:noProof/>
          <w:sz w:val="22"/>
        </w:rPr>
      </w:pPr>
      <w:r>
        <w:fldChar w:fldCharType="begin"/>
      </w:r>
      <w:r>
        <w:rPr>
          <w:rStyle w:val="Hyperlink"/>
        </w:rPr>
        <w:instrText xml:space="preserve"> HYPERLINK \l "_Toc256000045" </w:instrText>
      </w:r>
      <w:r>
        <w:fldChar w:fldCharType="separate"/>
      </w:r>
      <w:r>
        <w:rPr>
          <w:rStyle w:val="Hyperlink"/>
          <w:rFonts w:hint="eastAsia"/>
        </w:rPr>
        <w:t>（二十四）</w:t>
      </w:r>
      <w:r>
        <w:rPr>
          <w:rStyle w:val="Hyperlink"/>
          <w:rFonts w:asciiTheme="minorHAnsi" w:hAnsiTheme="minorHAnsi"/>
          <w:noProof/>
          <w:sz w:val="22"/>
        </w:rPr>
        <w:tab/>
      </w:r>
      <w:r>
        <w:rPr>
          <w:rStyle w:val="Hyperlink"/>
          <w:rFonts w:hint="eastAsia"/>
        </w:rPr>
        <w:t>法定代表人证明书</w:t>
      </w:r>
      <w:r>
        <w:rPr>
          <w:rStyle w:val="Hyperlink"/>
        </w:rPr>
        <w:tab/>
      </w:r>
      <w:r>
        <w:fldChar w:fldCharType="begin"/>
      </w:r>
      <w:r>
        <w:rPr>
          <w:rStyle w:val="Hyperlink"/>
        </w:rPr>
        <w:instrText xml:space="preserve"> PAGEREF _Toc256000045 \h </w:instrText>
      </w:r>
      <w:r>
        <w:fldChar w:fldCharType="separate"/>
      </w:r>
      <w:r>
        <w:rPr>
          <w:rStyle w:val="Hyperlink"/>
        </w:rPr>
        <w:t>76</w:t>
      </w:r>
      <w:r>
        <w:fldChar w:fldCharType="end"/>
      </w:r>
      <w:r>
        <w:fldChar w:fldCharType="end"/>
      </w:r>
    </w:p>
    <w:p>
      <w:pPr>
        <w:pStyle w:val="TOC2"/>
        <w:tabs>
          <w:tab w:val="left" w:pos="1320"/>
          <w:tab w:val="right" w:leader="dot" w:pos="9170"/>
        </w:tabs>
        <w:rPr>
          <w:rFonts w:asciiTheme="minorHAnsi" w:hAnsiTheme="minorHAnsi"/>
          <w:noProof/>
          <w:sz w:val="22"/>
        </w:rPr>
      </w:pPr>
      <w:r>
        <w:fldChar w:fldCharType="begin"/>
      </w:r>
      <w:r>
        <w:rPr>
          <w:rStyle w:val="Hyperlink"/>
        </w:rPr>
        <w:instrText xml:space="preserve"> HYPERLINK \l "_Toc256000046" </w:instrText>
      </w:r>
      <w:r>
        <w:fldChar w:fldCharType="separate"/>
      </w:r>
      <w:r>
        <w:rPr>
          <w:rStyle w:val="Hyperlink"/>
          <w:rFonts w:hint="eastAsia"/>
        </w:rPr>
        <w:t>（二十五）</w:t>
      </w:r>
      <w:r>
        <w:rPr>
          <w:rStyle w:val="Hyperlink"/>
          <w:rFonts w:asciiTheme="minorHAnsi" w:hAnsiTheme="minorHAnsi"/>
          <w:noProof/>
          <w:sz w:val="22"/>
        </w:rPr>
        <w:tab/>
      </w:r>
      <w:r>
        <w:rPr>
          <w:rStyle w:val="Hyperlink"/>
          <w:rFonts w:hint="eastAsia"/>
        </w:rPr>
        <w:t>法定代表人授权委托书</w:t>
      </w:r>
      <w:r>
        <w:rPr>
          <w:rStyle w:val="Hyperlink"/>
        </w:rPr>
        <w:tab/>
      </w:r>
      <w:r>
        <w:fldChar w:fldCharType="begin"/>
      </w:r>
      <w:r>
        <w:rPr>
          <w:rStyle w:val="Hyperlink"/>
        </w:rPr>
        <w:instrText xml:space="preserve"> PAGEREF _Toc256000046 \h </w:instrText>
      </w:r>
      <w:r>
        <w:fldChar w:fldCharType="separate"/>
      </w:r>
      <w:r>
        <w:rPr>
          <w:rStyle w:val="Hyperlink"/>
        </w:rPr>
        <w:t>77</w:t>
      </w:r>
      <w:r>
        <w:fldChar w:fldCharType="end"/>
      </w:r>
      <w:r>
        <w:fldChar w:fldCharType="end"/>
      </w:r>
    </w:p>
    <w:p>
      <w:pPr>
        <w:pStyle w:val="TOC2"/>
        <w:tabs>
          <w:tab w:val="left" w:pos="1320"/>
          <w:tab w:val="right" w:leader="dot" w:pos="9170"/>
        </w:tabs>
        <w:rPr>
          <w:rFonts w:asciiTheme="minorHAnsi" w:hAnsiTheme="minorHAnsi"/>
          <w:noProof/>
          <w:sz w:val="22"/>
        </w:rPr>
      </w:pPr>
      <w:r>
        <w:fldChar w:fldCharType="begin"/>
      </w:r>
      <w:r>
        <w:rPr>
          <w:rStyle w:val="Hyperlink"/>
        </w:rPr>
        <w:instrText xml:space="preserve"> HYPERLINK \l "_Toc256000047" </w:instrText>
      </w:r>
      <w:r>
        <w:fldChar w:fldCharType="separate"/>
      </w:r>
      <w:r>
        <w:rPr>
          <w:rStyle w:val="Hyperlink"/>
          <w:rFonts w:hint="eastAsia"/>
        </w:rPr>
        <w:t>（二十六）</w:t>
      </w:r>
      <w:r>
        <w:rPr>
          <w:rStyle w:val="Hyperlink"/>
          <w:rFonts w:asciiTheme="minorHAnsi" w:hAnsiTheme="minorHAnsi"/>
          <w:noProof/>
          <w:sz w:val="22"/>
        </w:rPr>
        <w:tab/>
      </w:r>
      <w:r>
        <w:rPr>
          <w:rStyle w:val="Hyperlink"/>
          <w:rFonts w:hint="eastAsia"/>
        </w:rPr>
        <w:t>实质性条款响应情况表</w:t>
      </w:r>
      <w:r>
        <w:rPr>
          <w:rStyle w:val="Hyperlink"/>
        </w:rPr>
        <w:tab/>
      </w:r>
      <w:r>
        <w:fldChar w:fldCharType="begin"/>
      </w:r>
      <w:r>
        <w:rPr>
          <w:rStyle w:val="Hyperlink"/>
        </w:rPr>
        <w:instrText xml:space="preserve"> PAGEREF _Toc256000047 \h </w:instrText>
      </w:r>
      <w:r>
        <w:fldChar w:fldCharType="separate"/>
      </w:r>
      <w:r>
        <w:rPr>
          <w:rStyle w:val="Hyperlink"/>
        </w:rPr>
        <w:t>78</w:t>
      </w:r>
      <w:r>
        <w:fldChar w:fldCharType="end"/>
      </w:r>
      <w:r>
        <w:fldChar w:fldCharType="end"/>
      </w:r>
    </w:p>
    <w:p>
      <w:pPr>
        <w:pStyle w:val="TOC2"/>
        <w:tabs>
          <w:tab w:val="left" w:pos="1320"/>
          <w:tab w:val="right" w:leader="dot" w:pos="9170"/>
        </w:tabs>
        <w:rPr>
          <w:rFonts w:asciiTheme="minorHAnsi" w:hAnsiTheme="minorHAnsi"/>
          <w:noProof/>
          <w:sz w:val="22"/>
        </w:rPr>
      </w:pPr>
      <w:r>
        <w:fldChar w:fldCharType="begin"/>
      </w:r>
      <w:r>
        <w:rPr>
          <w:rStyle w:val="Hyperlink"/>
        </w:rPr>
        <w:instrText xml:space="preserve"> HYPERLINK \l "_Toc256000048" </w:instrText>
      </w:r>
      <w:r>
        <w:fldChar w:fldCharType="separate"/>
      </w:r>
      <w:r>
        <w:rPr>
          <w:rStyle w:val="Hyperlink"/>
          <w:rFonts w:hint="eastAsia"/>
        </w:rPr>
        <w:t>（二十七）</w:t>
      </w:r>
      <w:r>
        <w:rPr>
          <w:rStyle w:val="Hyperlink"/>
          <w:rFonts w:asciiTheme="minorHAnsi" w:hAnsiTheme="minorHAnsi"/>
          <w:noProof/>
          <w:sz w:val="22"/>
        </w:rPr>
        <w:tab/>
      </w:r>
      <w:r>
        <w:rPr>
          <w:rStyle w:val="Hyperlink"/>
          <w:rFonts w:hint="eastAsia"/>
        </w:rPr>
        <w:t>技术规格偏离表</w:t>
      </w:r>
      <w:r>
        <w:rPr>
          <w:rStyle w:val="Hyperlink"/>
        </w:rPr>
        <w:tab/>
      </w:r>
      <w:r>
        <w:fldChar w:fldCharType="begin"/>
      </w:r>
      <w:r>
        <w:rPr>
          <w:rStyle w:val="Hyperlink"/>
        </w:rPr>
        <w:instrText xml:space="preserve"> PAGEREF _Toc256000048 \h </w:instrText>
      </w:r>
      <w:r>
        <w:fldChar w:fldCharType="separate"/>
      </w:r>
      <w:r>
        <w:rPr>
          <w:rStyle w:val="Hyperlink"/>
        </w:rPr>
        <w:t>82</w:t>
      </w:r>
      <w:r>
        <w:fldChar w:fldCharType="end"/>
      </w:r>
      <w:r>
        <w:fldChar w:fldCharType="end"/>
      </w:r>
    </w:p>
    <w:p>
      <w:pPr>
        <w:pStyle w:val="TOC2"/>
        <w:tabs>
          <w:tab w:val="left" w:pos="1320"/>
          <w:tab w:val="right" w:leader="dot" w:pos="9170"/>
        </w:tabs>
        <w:rPr>
          <w:rFonts w:asciiTheme="minorHAnsi" w:hAnsiTheme="minorHAnsi"/>
          <w:noProof/>
          <w:sz w:val="22"/>
        </w:rPr>
      </w:pPr>
      <w:r>
        <w:fldChar w:fldCharType="begin"/>
      </w:r>
      <w:r>
        <w:rPr>
          <w:rStyle w:val="Hyperlink"/>
        </w:rPr>
        <w:instrText xml:space="preserve"> HYPERLINK \l "_Toc256000049" </w:instrText>
      </w:r>
      <w:r>
        <w:fldChar w:fldCharType="separate"/>
      </w:r>
      <w:r>
        <w:rPr>
          <w:rStyle w:val="Hyperlink"/>
          <w:rFonts w:hint="eastAsia"/>
        </w:rPr>
        <w:t>（二十八）</w:t>
      </w:r>
      <w:r>
        <w:rPr>
          <w:rStyle w:val="Hyperlink"/>
          <w:rFonts w:asciiTheme="minorHAnsi" w:hAnsiTheme="minorHAnsi"/>
          <w:noProof/>
          <w:sz w:val="22"/>
        </w:rPr>
        <w:tab/>
      </w:r>
      <w:r>
        <w:rPr>
          <w:rStyle w:val="Hyperlink"/>
          <w:rFonts w:hint="eastAsia"/>
        </w:rPr>
        <w:t>用户需求书商务条款响应一览表</w:t>
      </w:r>
      <w:r>
        <w:rPr>
          <w:rStyle w:val="Hyperlink"/>
        </w:rPr>
        <w:tab/>
      </w:r>
      <w:r>
        <w:fldChar w:fldCharType="begin"/>
      </w:r>
      <w:r>
        <w:rPr>
          <w:rStyle w:val="Hyperlink"/>
        </w:rPr>
        <w:instrText xml:space="preserve"> PAGEREF _Toc256000049 \h </w:instrText>
      </w:r>
      <w:r>
        <w:fldChar w:fldCharType="separate"/>
      </w:r>
      <w:r>
        <w:rPr>
          <w:rStyle w:val="Hyperlink"/>
        </w:rPr>
        <w:t>83</w:t>
      </w:r>
      <w:r>
        <w:fldChar w:fldCharType="end"/>
      </w:r>
      <w:r>
        <w:fldChar w:fldCharType="end"/>
      </w:r>
    </w:p>
    <w:p>
      <w:pPr>
        <w:pStyle w:val="TOC2"/>
        <w:tabs>
          <w:tab w:val="left" w:pos="1320"/>
          <w:tab w:val="right" w:leader="dot" w:pos="9170"/>
        </w:tabs>
        <w:rPr>
          <w:rFonts w:asciiTheme="minorHAnsi" w:hAnsiTheme="minorHAnsi"/>
          <w:noProof/>
          <w:sz w:val="22"/>
        </w:rPr>
      </w:pPr>
      <w:r>
        <w:fldChar w:fldCharType="begin"/>
      </w:r>
      <w:r>
        <w:rPr>
          <w:rStyle w:val="Hyperlink"/>
        </w:rPr>
        <w:instrText xml:space="preserve"> HYPERLINK \l "_Toc256000050" </w:instrText>
      </w:r>
      <w:r>
        <w:fldChar w:fldCharType="separate"/>
      </w:r>
      <w:r>
        <w:rPr>
          <w:rStyle w:val="Hyperlink"/>
          <w:rFonts w:hint="eastAsia"/>
        </w:rPr>
        <w:t>（二十九）</w:t>
      </w:r>
      <w:r>
        <w:rPr>
          <w:rStyle w:val="Hyperlink"/>
          <w:rFonts w:asciiTheme="minorHAnsi" w:hAnsiTheme="minorHAnsi"/>
          <w:noProof/>
          <w:sz w:val="22"/>
        </w:rPr>
        <w:tab/>
      </w:r>
      <w:r>
        <w:rPr>
          <w:rStyle w:val="Hyperlink"/>
          <w:rFonts w:hint="eastAsia"/>
        </w:rPr>
        <w:t>政府采购违法行为风险知悉确认书</w:t>
      </w:r>
      <w:r>
        <w:rPr>
          <w:rStyle w:val="Hyperlink"/>
        </w:rPr>
        <w:tab/>
      </w:r>
      <w:r>
        <w:fldChar w:fldCharType="begin"/>
      </w:r>
      <w:r>
        <w:rPr>
          <w:rStyle w:val="Hyperlink"/>
        </w:rPr>
        <w:instrText xml:space="preserve"> PAGEREF _Toc256000050 \h </w:instrText>
      </w:r>
      <w:r>
        <w:fldChar w:fldCharType="separate"/>
      </w:r>
      <w:r>
        <w:rPr>
          <w:rStyle w:val="Hyperlink"/>
        </w:rPr>
        <w:t>84</w:t>
      </w:r>
      <w:r>
        <w:fldChar w:fldCharType="end"/>
      </w:r>
      <w:r>
        <w:fldChar w:fldCharType="end"/>
      </w:r>
    </w:p>
    <w:p>
      <w:pPr>
        <w:pStyle w:val="TOC2"/>
        <w:tabs>
          <w:tab w:val="left" w:pos="1100"/>
          <w:tab w:val="right" w:leader="dot" w:pos="9170"/>
        </w:tabs>
        <w:rPr>
          <w:rFonts w:asciiTheme="minorHAnsi" w:hAnsiTheme="minorHAnsi"/>
          <w:noProof/>
          <w:sz w:val="22"/>
        </w:rPr>
      </w:pPr>
      <w:r>
        <w:fldChar w:fldCharType="begin"/>
      </w:r>
      <w:r>
        <w:rPr>
          <w:rStyle w:val="Hyperlink"/>
        </w:rPr>
        <w:instrText xml:space="preserve"> HYPERLINK \l "_Toc256000051" </w:instrText>
      </w:r>
      <w:r>
        <w:fldChar w:fldCharType="separate"/>
      </w:r>
      <w:r>
        <w:rPr>
          <w:rStyle w:val="Hyperlink"/>
          <w:rFonts w:hint="eastAsia"/>
        </w:rPr>
        <w:t>（三十）</w:t>
      </w:r>
      <w:r>
        <w:rPr>
          <w:rStyle w:val="Hyperlink"/>
          <w:rFonts w:asciiTheme="minorHAnsi" w:hAnsiTheme="minorHAnsi"/>
          <w:noProof/>
          <w:sz w:val="22"/>
        </w:rPr>
        <w:tab/>
      </w:r>
      <w:r>
        <w:rPr>
          <w:rStyle w:val="Hyperlink"/>
          <w:rFonts w:hint="eastAsia"/>
        </w:rPr>
        <w:t>实施方案</w:t>
      </w:r>
      <w:r>
        <w:rPr>
          <w:rStyle w:val="Hyperlink"/>
        </w:rPr>
        <w:tab/>
      </w:r>
      <w:r>
        <w:fldChar w:fldCharType="begin"/>
      </w:r>
      <w:r>
        <w:rPr>
          <w:rStyle w:val="Hyperlink"/>
        </w:rPr>
        <w:instrText xml:space="preserve"> PAGEREF _Toc256000051 \h </w:instrText>
      </w:r>
      <w:r>
        <w:fldChar w:fldCharType="separate"/>
      </w:r>
      <w:r>
        <w:rPr>
          <w:rStyle w:val="Hyperlink"/>
        </w:rPr>
        <w:t>86</w:t>
      </w:r>
      <w:r>
        <w:fldChar w:fldCharType="end"/>
      </w:r>
      <w:r>
        <w:fldChar w:fldCharType="end"/>
      </w:r>
    </w:p>
    <w:p>
      <w:pPr>
        <w:pStyle w:val="TOC2"/>
        <w:tabs>
          <w:tab w:val="left" w:pos="1320"/>
          <w:tab w:val="right" w:leader="dot" w:pos="9170"/>
        </w:tabs>
        <w:rPr>
          <w:rFonts w:asciiTheme="minorHAnsi" w:hAnsiTheme="minorHAnsi"/>
          <w:noProof/>
          <w:sz w:val="22"/>
        </w:rPr>
      </w:pPr>
      <w:r>
        <w:fldChar w:fldCharType="begin"/>
      </w:r>
      <w:r>
        <w:rPr>
          <w:rStyle w:val="Hyperlink"/>
        </w:rPr>
        <w:instrText xml:space="preserve"> HYPERLINK \l "_Toc256000052" </w:instrText>
      </w:r>
      <w:r>
        <w:fldChar w:fldCharType="separate"/>
      </w:r>
      <w:r>
        <w:rPr>
          <w:rStyle w:val="Hyperlink"/>
          <w:rFonts w:hint="eastAsia"/>
        </w:rPr>
        <w:t>（三十一）</w:t>
      </w:r>
      <w:r>
        <w:rPr>
          <w:rStyle w:val="Hyperlink"/>
          <w:rFonts w:asciiTheme="minorHAnsi" w:hAnsiTheme="minorHAnsi"/>
          <w:noProof/>
          <w:sz w:val="22"/>
        </w:rPr>
        <w:tab/>
      </w:r>
      <w:r>
        <w:rPr>
          <w:rStyle w:val="Hyperlink"/>
          <w:rFonts w:hint="eastAsia"/>
        </w:rPr>
        <w:t>项目重点难点分析、应对措施及相关的合理化建议</w:t>
      </w:r>
      <w:r>
        <w:rPr>
          <w:rStyle w:val="Hyperlink"/>
        </w:rPr>
        <w:tab/>
      </w:r>
      <w:r>
        <w:fldChar w:fldCharType="begin"/>
      </w:r>
      <w:r>
        <w:rPr>
          <w:rStyle w:val="Hyperlink"/>
        </w:rPr>
        <w:instrText xml:space="preserve"> PAGEREF _Toc256000052 \h </w:instrText>
      </w:r>
      <w:r>
        <w:fldChar w:fldCharType="separate"/>
      </w:r>
      <w:r>
        <w:rPr>
          <w:rStyle w:val="Hyperlink"/>
        </w:rPr>
        <w:t>87</w:t>
      </w:r>
      <w:r>
        <w:fldChar w:fldCharType="end"/>
      </w:r>
      <w:r>
        <w:fldChar w:fldCharType="end"/>
      </w:r>
    </w:p>
    <w:p>
      <w:pPr>
        <w:pStyle w:val="TOC2"/>
        <w:tabs>
          <w:tab w:val="left" w:pos="1320"/>
          <w:tab w:val="right" w:leader="dot" w:pos="9170"/>
        </w:tabs>
        <w:rPr>
          <w:rFonts w:asciiTheme="minorHAnsi" w:hAnsiTheme="minorHAnsi"/>
          <w:noProof/>
          <w:sz w:val="22"/>
        </w:rPr>
      </w:pPr>
      <w:r>
        <w:fldChar w:fldCharType="begin"/>
      </w:r>
      <w:r>
        <w:rPr>
          <w:rStyle w:val="Hyperlink"/>
        </w:rPr>
        <w:instrText xml:space="preserve"> HYPERLINK \l "_Toc256000053" </w:instrText>
      </w:r>
      <w:r>
        <w:fldChar w:fldCharType="separate"/>
      </w:r>
      <w:r>
        <w:rPr>
          <w:rStyle w:val="Hyperlink"/>
          <w:rFonts w:hint="eastAsia"/>
        </w:rPr>
        <w:t>（三十二）</w:t>
      </w:r>
      <w:r>
        <w:rPr>
          <w:rStyle w:val="Hyperlink"/>
          <w:rFonts w:asciiTheme="minorHAnsi" w:hAnsiTheme="minorHAnsi"/>
          <w:noProof/>
          <w:sz w:val="22"/>
        </w:rPr>
        <w:tab/>
      </w:r>
      <w:r>
        <w:rPr>
          <w:rStyle w:val="Hyperlink"/>
          <w:rFonts w:hint="eastAsia"/>
        </w:rPr>
        <w:t>质量（完成时间、安全、环保）保障措施及方案</w:t>
      </w:r>
      <w:r>
        <w:rPr>
          <w:rStyle w:val="Hyperlink"/>
        </w:rPr>
        <w:tab/>
      </w:r>
      <w:r>
        <w:fldChar w:fldCharType="begin"/>
      </w:r>
      <w:r>
        <w:rPr>
          <w:rStyle w:val="Hyperlink"/>
        </w:rPr>
        <w:instrText xml:space="preserve"> PAGEREF _Toc256000053 \h </w:instrText>
      </w:r>
      <w:r>
        <w:fldChar w:fldCharType="separate"/>
      </w:r>
      <w:r>
        <w:rPr>
          <w:rStyle w:val="Hyperlink"/>
        </w:rPr>
        <w:t>88</w:t>
      </w:r>
      <w:r>
        <w:fldChar w:fldCharType="end"/>
      </w:r>
      <w:r>
        <w:fldChar w:fldCharType="end"/>
      </w:r>
    </w:p>
    <w:p>
      <w:pPr>
        <w:pStyle w:val="TOC2"/>
        <w:tabs>
          <w:tab w:val="left" w:pos="1320"/>
          <w:tab w:val="right" w:leader="dot" w:pos="9170"/>
        </w:tabs>
        <w:rPr>
          <w:rFonts w:asciiTheme="minorHAnsi" w:hAnsiTheme="minorHAnsi"/>
          <w:noProof/>
          <w:sz w:val="22"/>
        </w:rPr>
      </w:pPr>
      <w:r>
        <w:fldChar w:fldCharType="begin"/>
      </w:r>
      <w:r>
        <w:rPr>
          <w:rStyle w:val="Hyperlink"/>
        </w:rPr>
        <w:instrText xml:space="preserve"> HYPERLINK \l "_Toc256000054" </w:instrText>
      </w:r>
      <w:r>
        <w:fldChar w:fldCharType="separate"/>
      </w:r>
      <w:r>
        <w:rPr>
          <w:rStyle w:val="Hyperlink"/>
          <w:rFonts w:hint="eastAsia"/>
        </w:rPr>
        <w:t>（三十三）</w:t>
      </w:r>
      <w:r>
        <w:rPr>
          <w:rStyle w:val="Hyperlink"/>
          <w:rFonts w:asciiTheme="minorHAnsi" w:hAnsiTheme="minorHAnsi"/>
          <w:noProof/>
          <w:sz w:val="22"/>
        </w:rPr>
        <w:tab/>
      </w:r>
      <w:r>
        <w:rPr>
          <w:rStyle w:val="Hyperlink"/>
          <w:rFonts w:hint="eastAsia"/>
        </w:rPr>
        <w:t>项目完成（服务期满）后的服务承诺</w:t>
      </w:r>
      <w:r>
        <w:rPr>
          <w:rStyle w:val="Hyperlink"/>
        </w:rPr>
        <w:tab/>
      </w:r>
      <w:r>
        <w:fldChar w:fldCharType="begin"/>
      </w:r>
      <w:r>
        <w:rPr>
          <w:rStyle w:val="Hyperlink"/>
        </w:rPr>
        <w:instrText xml:space="preserve"> PAGEREF _Toc256000054 \h </w:instrText>
      </w:r>
      <w:r>
        <w:fldChar w:fldCharType="separate"/>
      </w:r>
      <w:r>
        <w:rPr>
          <w:rStyle w:val="Hyperlink"/>
        </w:rPr>
        <w:t>89</w:t>
      </w:r>
      <w:r>
        <w:fldChar w:fldCharType="end"/>
      </w:r>
      <w:r>
        <w:fldChar w:fldCharType="end"/>
      </w:r>
    </w:p>
    <w:p>
      <w:pPr>
        <w:pStyle w:val="TOC2"/>
        <w:tabs>
          <w:tab w:val="left" w:pos="1320"/>
          <w:tab w:val="right" w:leader="dot" w:pos="9170"/>
        </w:tabs>
        <w:rPr>
          <w:rFonts w:asciiTheme="minorHAnsi" w:hAnsiTheme="minorHAnsi"/>
          <w:noProof/>
          <w:sz w:val="22"/>
        </w:rPr>
      </w:pPr>
      <w:r>
        <w:fldChar w:fldCharType="begin"/>
      </w:r>
      <w:r>
        <w:rPr>
          <w:rStyle w:val="Hyperlink"/>
        </w:rPr>
        <w:instrText xml:space="preserve"> HYPERLINK \l "_Toc256000055" </w:instrText>
      </w:r>
      <w:r>
        <w:fldChar w:fldCharType="separate"/>
      </w:r>
      <w:r>
        <w:rPr>
          <w:rStyle w:val="Hyperlink"/>
          <w:rFonts w:hint="eastAsia"/>
        </w:rPr>
        <w:t>（三十四）</w:t>
      </w:r>
      <w:r>
        <w:rPr>
          <w:rStyle w:val="Hyperlink"/>
          <w:rFonts w:asciiTheme="minorHAnsi" w:hAnsiTheme="minorHAnsi"/>
          <w:noProof/>
          <w:sz w:val="22"/>
        </w:rPr>
        <w:tab/>
      </w:r>
      <w:r>
        <w:rPr>
          <w:rStyle w:val="Hyperlink"/>
          <w:rFonts w:hint="eastAsia"/>
        </w:rPr>
        <w:t>违约承诺</w:t>
      </w:r>
      <w:r>
        <w:rPr>
          <w:rStyle w:val="Hyperlink"/>
        </w:rPr>
        <w:tab/>
      </w:r>
      <w:r>
        <w:fldChar w:fldCharType="begin"/>
      </w:r>
      <w:r>
        <w:rPr>
          <w:rStyle w:val="Hyperlink"/>
        </w:rPr>
        <w:instrText xml:space="preserve"> PAGEREF _Toc256000055 \h </w:instrText>
      </w:r>
      <w:r>
        <w:fldChar w:fldCharType="separate"/>
      </w:r>
      <w:r>
        <w:rPr>
          <w:rStyle w:val="Hyperlink"/>
        </w:rPr>
        <w:t>90</w:t>
      </w:r>
      <w:r>
        <w:fldChar w:fldCharType="end"/>
      </w:r>
      <w:r>
        <w:fldChar w:fldCharType="end"/>
      </w:r>
    </w:p>
    <w:p>
      <w:pPr>
        <w:jc w:val="center"/>
        <w:rPr>
          <w:rFonts w:asciiTheme="minorEastAsia" w:eastAsiaTheme="minorEastAsia" w:hAnsiTheme="minorEastAsia" w:cs="Calibri"/>
          <w:bCs/>
          <w:caps/>
          <w:sz w:val="28"/>
          <w:szCs w:val="52"/>
        </w:rPr>
      </w:pPr>
      <w:r>
        <w:rPr>
          <w:rFonts w:asciiTheme="minorEastAsia" w:eastAsiaTheme="minorEastAsia" w:hAnsiTheme="minorEastAsia" w:cs="Calibri"/>
          <w:bCs/>
          <w:caps/>
          <w:sz w:val="28"/>
          <w:szCs w:val="52"/>
        </w:rPr>
        <w:fldChar w:fldCharType="end"/>
      </w:r>
    </w:p>
    <w:p>
      <w:pPr>
        <w:widowControl/>
        <w:jc w:val="center"/>
        <w:outlineLvl w:val="0"/>
        <w:rPr>
          <w:rFonts w:asciiTheme="minorEastAsia" w:eastAsiaTheme="minorEastAsia" w:hAnsiTheme="minorEastAsia"/>
          <w:sz w:val="24"/>
        </w:rPr>
      </w:pPr>
      <w:bookmarkStart w:id="6" w:name="_Toc13067016"/>
      <w:bookmarkStart w:id="7" w:name="_Toc14832"/>
      <w:bookmarkStart w:id="8" w:name="_Toc256000000"/>
      <w:r>
        <w:rPr>
          <w:rFonts w:hint="eastAsia"/>
          <w:b/>
          <w:bCs/>
          <w:sz w:val="28"/>
          <w:szCs w:val="28"/>
        </w:rPr>
        <w:t>第一</w:t>
      </w:r>
      <w:r>
        <w:rPr>
          <w:b/>
          <w:bCs/>
          <w:sz w:val="28"/>
          <w:szCs w:val="28"/>
        </w:rPr>
        <w:t>章</w:t>
      </w:r>
      <w:r>
        <w:rPr>
          <w:rFonts w:hint="eastAsia"/>
          <w:b/>
          <w:bCs/>
          <w:sz w:val="28"/>
          <w:szCs w:val="28"/>
        </w:rPr>
        <w:t xml:space="preserve"> </w:t>
      </w:r>
      <w:r>
        <w:rPr>
          <w:b/>
          <w:bCs/>
          <w:sz w:val="28"/>
          <w:szCs w:val="28"/>
        </w:rPr>
        <w:t>投标邀请</w:t>
      </w:r>
      <w:bookmarkEnd w:id="8"/>
      <w:bookmarkEnd w:id="4"/>
      <w:bookmarkEnd w:id="5"/>
      <w:bookmarkEnd w:id="6"/>
      <w:bookmarkEnd w:id="7"/>
      <w:bookmarkStart w:id="9" w:name="_Hlk43747761"/>
    </w:p>
    <w:p>
      <w:pPr>
        <w:spacing w:line="360" w:lineRule="auto"/>
        <w:rPr>
          <w:rFonts w:asciiTheme="minorEastAsia" w:eastAsiaTheme="minorEastAsia" w:hAnsiTheme="minorEastAsia"/>
          <w:color w:val="595959" w:themeColor="text1" w:themeTint="A6"/>
          <w:sz w:val="24"/>
          <w14:textFill>
            <w14:solidFill>
              <w14:schemeClr w14:val="tx1">
                <w14:lumMod w14:val="65000"/>
                <w14:lumOff w14:val="35000"/>
              </w14:schemeClr>
            </w14:solidFill>
          </w14:textFill>
        </w:rPr>
      </w:pPr>
      <w:r>
        <w:rPr>
          <w:rFonts w:asciiTheme="minorEastAsia" w:eastAsiaTheme="minorEastAsia" w:hAnsiTheme="minorEastAsia" w:hint="eastAsia"/>
          <w:sz w:val="24"/>
        </w:rPr>
        <w:t>项目概况</w:t>
      </w:r>
    </w:p>
    <w:p>
      <w:pPr>
        <w:spacing w:line="360" w:lineRule="auto"/>
        <w:ind w:firstLine="315" w:firstLineChars="150"/>
        <w:rPr>
          <w:rFonts w:asciiTheme="minorEastAsia" w:eastAsiaTheme="minorEastAsia" w:hAnsiTheme="minorEastAsia"/>
          <w:sz w:val="24"/>
        </w:rPr>
      </w:pPr>
      <w:r>
        <w:rPr>
          <w:rFonts w:asciiTheme="minorEastAsia" w:eastAsiaTheme="minorEastAsia" w:hAnsiTheme="minorEastAsia" w:hint="eastAsia"/>
          <w:color w:val="auto"/>
          <w:sz w:val="24"/>
          <w:lang w:eastAsia="zh-CN"/>
        </w:rPr>
        <w:t>2023-2024年基准年碳核查全流程技术支持服务</w:t>
      </w:r>
      <w:r>
        <w:rPr>
          <w:rFonts w:asciiTheme="minorEastAsia" w:eastAsiaTheme="minorEastAsia" w:hAnsiTheme="minorEastAsia" w:hint="eastAsia"/>
          <w:color w:val="auto"/>
          <w:sz w:val="24"/>
        </w:rPr>
        <w:t>的潜在投标人应在（</w:t>
      </w:r>
      <w:r>
        <w:rPr>
          <w:rFonts w:asciiTheme="minorEastAsia" w:eastAsiaTheme="minorEastAsia" w:hAnsiTheme="minorEastAsia" w:hint="eastAsia"/>
          <w:i/>
          <w:color w:val="auto"/>
          <w:sz w:val="24"/>
        </w:rPr>
        <w:t>本公告附件中</w:t>
      </w:r>
      <w:r>
        <w:rPr>
          <w:rFonts w:asciiTheme="minorEastAsia" w:eastAsiaTheme="minorEastAsia" w:hAnsiTheme="minorEastAsia" w:hint="eastAsia"/>
          <w:color w:val="auto"/>
          <w:sz w:val="24"/>
        </w:rPr>
        <w:t>）获取招标文件，并于</w:t>
      </w:r>
      <w:r>
        <w:rPr>
          <w:rFonts w:asciiTheme="minorEastAsia" w:eastAsiaTheme="minorEastAsia" w:hAnsiTheme="minorEastAsia" w:hint="eastAsia"/>
          <w:color w:val="auto"/>
          <w:sz w:val="24"/>
          <w:lang w:val="en-US" w:eastAsia="zh-CN"/>
        </w:rPr>
        <w:t>2022</w:t>
      </w:r>
      <w:r>
        <w:rPr>
          <w:rFonts w:asciiTheme="minorEastAsia" w:eastAsiaTheme="minorEastAsia" w:hAnsiTheme="minorEastAsia" w:hint="eastAsia"/>
          <w:bCs/>
          <w:color w:val="auto"/>
          <w:sz w:val="24"/>
        </w:rPr>
        <w:t>年</w:t>
      </w:r>
      <w:r>
        <w:rPr>
          <w:rFonts w:asciiTheme="minorEastAsia" w:eastAsiaTheme="minorEastAsia" w:hAnsiTheme="minorEastAsia" w:hint="eastAsia"/>
          <w:bCs/>
          <w:color w:val="auto"/>
          <w:sz w:val="24"/>
          <w:lang w:val="en-US" w:eastAsia="zh-CN"/>
        </w:rPr>
        <w:t>12</w:t>
      </w:r>
      <w:r>
        <w:rPr>
          <w:rFonts w:asciiTheme="minorEastAsia" w:eastAsiaTheme="minorEastAsia" w:hAnsiTheme="minorEastAsia" w:hint="eastAsia"/>
          <w:bCs/>
          <w:color w:val="auto"/>
          <w:sz w:val="24"/>
        </w:rPr>
        <w:t>月</w:t>
      </w:r>
      <w:r>
        <w:rPr>
          <w:rFonts w:asciiTheme="minorEastAsia" w:eastAsiaTheme="minorEastAsia" w:hAnsiTheme="minorEastAsia" w:hint="eastAsia"/>
          <w:bCs/>
          <w:color w:val="auto"/>
          <w:sz w:val="24"/>
          <w:lang w:val="en-US" w:eastAsia="zh-CN"/>
        </w:rPr>
        <w:t>6</w:t>
      </w:r>
      <w:r>
        <w:rPr>
          <w:rFonts w:asciiTheme="minorEastAsia" w:eastAsiaTheme="minorEastAsia" w:hAnsiTheme="minorEastAsia" w:hint="eastAsia"/>
          <w:bCs/>
          <w:color w:val="auto"/>
          <w:sz w:val="24"/>
        </w:rPr>
        <w:t>日</w:t>
      </w:r>
      <w:r>
        <w:rPr>
          <w:rFonts w:asciiTheme="minorEastAsia" w:eastAsiaTheme="minorEastAsia" w:hAnsiTheme="minorEastAsia" w:hint="eastAsia"/>
          <w:bCs/>
          <w:color w:val="auto"/>
          <w:sz w:val="24"/>
          <w:lang w:val="en-US" w:eastAsia="zh-CN"/>
        </w:rPr>
        <w:t>14</w:t>
      </w:r>
      <w:r>
        <w:rPr>
          <w:rFonts w:asciiTheme="minorEastAsia" w:eastAsiaTheme="minorEastAsia" w:hAnsiTheme="minorEastAsia" w:hint="eastAsia"/>
          <w:bCs/>
          <w:color w:val="auto"/>
          <w:sz w:val="24"/>
        </w:rPr>
        <w:t>：</w:t>
      </w:r>
      <w:r>
        <w:rPr>
          <w:rFonts w:asciiTheme="minorEastAsia" w:eastAsiaTheme="minorEastAsia" w:hAnsiTheme="minorEastAsia" w:hint="eastAsia"/>
          <w:bCs/>
          <w:color w:val="auto"/>
          <w:sz w:val="24"/>
          <w:lang w:val="en-US" w:eastAsia="zh-CN"/>
        </w:rPr>
        <w:t>45</w:t>
      </w:r>
      <w:r>
        <w:rPr>
          <w:rFonts w:asciiTheme="minorEastAsia" w:eastAsiaTheme="minorEastAsia" w:hAnsiTheme="minorEastAsia" w:hint="eastAsia"/>
          <w:bCs/>
          <w:sz w:val="24"/>
        </w:rPr>
        <w:t>（北京时间）前网上递交投标</w:t>
      </w:r>
      <w:r>
        <w:rPr>
          <w:rFonts w:asciiTheme="minorEastAsia" w:eastAsiaTheme="minorEastAsia" w:hAnsiTheme="minorEastAsia"/>
          <w:bCs/>
          <w:sz w:val="24"/>
        </w:rPr>
        <w:t>文件</w:t>
      </w:r>
      <w:r>
        <w:rPr>
          <w:rFonts w:asciiTheme="minorEastAsia" w:eastAsiaTheme="minorEastAsia" w:hAnsiTheme="minorEastAsia" w:hint="eastAsia"/>
          <w:bCs/>
          <w:sz w:val="24"/>
        </w:rPr>
        <w:t>。</w:t>
      </w:r>
    </w:p>
    <w:p>
      <w:pPr>
        <w:pStyle w:val="Heading2"/>
        <w:spacing w:line="360" w:lineRule="auto"/>
        <w:rPr>
          <w:rFonts w:asciiTheme="minorEastAsia" w:eastAsiaTheme="minorEastAsia" w:hAnsiTheme="minorEastAsia" w:cs="宋体"/>
          <w:b w:val="0"/>
          <w:sz w:val="24"/>
          <w:szCs w:val="24"/>
        </w:rPr>
      </w:pPr>
      <w:bookmarkStart w:id="10" w:name="_Toc35393621"/>
      <w:bookmarkStart w:id="11" w:name="_Toc28359002"/>
      <w:bookmarkStart w:id="12" w:name="_Toc35393790"/>
      <w:bookmarkStart w:id="13" w:name="_Toc28359079"/>
      <w:bookmarkStart w:id="14" w:name="_Toc9100"/>
      <w:bookmarkStart w:id="15" w:name="_Hlk24379207"/>
      <w:bookmarkStart w:id="16" w:name="_Toc256000001"/>
      <w:r>
        <w:rPr>
          <w:rFonts w:asciiTheme="minorEastAsia" w:eastAsiaTheme="minorEastAsia" w:hAnsiTheme="minorEastAsia" w:cs="宋体" w:hint="eastAsia"/>
          <w:b w:val="0"/>
          <w:sz w:val="24"/>
          <w:szCs w:val="24"/>
        </w:rPr>
        <w:t>一、项目基本情况</w:t>
      </w:r>
      <w:bookmarkEnd w:id="16"/>
      <w:bookmarkEnd w:id="10"/>
      <w:bookmarkEnd w:id="11"/>
      <w:bookmarkEnd w:id="12"/>
      <w:bookmarkEnd w:id="13"/>
      <w:bookmarkEnd w:id="14"/>
    </w:p>
    <w:p>
      <w:pPr>
        <w:spacing w:line="360" w:lineRule="auto"/>
        <w:ind w:firstLine="420" w:firstLineChars="200"/>
        <w:rPr>
          <w:rFonts w:asciiTheme="minorEastAsia" w:eastAsiaTheme="minorEastAsia" w:hAnsiTheme="minorEastAsia" w:hint="eastAsia"/>
          <w:color w:val="auto"/>
          <w:sz w:val="24"/>
          <w:lang w:eastAsia="zh-CN"/>
        </w:rPr>
      </w:pPr>
      <w:r>
        <w:rPr>
          <w:rFonts w:asciiTheme="minorEastAsia" w:eastAsiaTheme="minorEastAsia" w:hAnsiTheme="minorEastAsia" w:hint="eastAsia"/>
          <w:sz w:val="24"/>
        </w:rPr>
        <w:t>1.项目编号</w:t>
      </w:r>
      <w:r>
        <w:rPr>
          <w:rFonts w:asciiTheme="minorEastAsia" w:eastAsiaTheme="minorEastAsia" w:hAnsiTheme="minorEastAsia" w:hint="eastAsia"/>
          <w:color w:val="auto"/>
          <w:sz w:val="24"/>
        </w:rPr>
        <w:t>：</w:t>
      </w:r>
      <w:r>
        <w:rPr>
          <w:rFonts w:asciiTheme="minorEastAsia" w:eastAsiaTheme="minorEastAsia" w:hAnsiTheme="minorEastAsia" w:hint="eastAsia"/>
          <w:color w:val="auto"/>
          <w:sz w:val="24"/>
          <w:lang w:eastAsia="zh-CN"/>
        </w:rPr>
        <w:t>SZDL2022002374（CLF0122SZ17ZC77）</w:t>
      </w:r>
    </w:p>
    <w:p>
      <w:pPr>
        <w:spacing w:line="360" w:lineRule="auto"/>
        <w:ind w:firstLine="420" w:firstLineChars="200"/>
        <w:rPr>
          <w:rFonts w:asciiTheme="minorEastAsia" w:eastAsiaTheme="minorEastAsia" w:hAnsiTheme="minorEastAsia" w:hint="eastAsia"/>
          <w:color w:val="auto"/>
          <w:sz w:val="24"/>
          <w:lang w:eastAsia="zh-CN"/>
        </w:rPr>
      </w:pPr>
      <w:r>
        <w:rPr>
          <w:rFonts w:asciiTheme="minorEastAsia" w:eastAsiaTheme="minorEastAsia" w:hAnsiTheme="minorEastAsia" w:hint="eastAsia"/>
          <w:color w:val="auto"/>
          <w:sz w:val="24"/>
        </w:rPr>
        <w:t>2.项目名称：</w:t>
      </w:r>
      <w:r>
        <w:rPr>
          <w:rFonts w:asciiTheme="minorEastAsia" w:eastAsiaTheme="minorEastAsia" w:hAnsiTheme="minorEastAsia" w:hint="eastAsia"/>
          <w:color w:val="auto"/>
          <w:sz w:val="24"/>
          <w:lang w:eastAsia="zh-CN"/>
        </w:rPr>
        <w:t>2023-2024年基准年碳核查全流程技术支持服务</w:t>
      </w:r>
    </w:p>
    <w:p>
      <w:pPr>
        <w:spacing w:line="360" w:lineRule="auto"/>
        <w:ind w:firstLine="420" w:firstLineChars="200"/>
        <w:rPr>
          <w:rFonts w:asciiTheme="minorEastAsia" w:eastAsiaTheme="minorEastAsia" w:hAnsiTheme="minorEastAsia"/>
          <w:color w:val="auto"/>
          <w:sz w:val="24"/>
        </w:rPr>
      </w:pPr>
      <w:bookmarkEnd w:id="15"/>
      <w:r>
        <w:rPr>
          <w:rFonts w:asciiTheme="minorEastAsia" w:eastAsiaTheme="minorEastAsia" w:hAnsiTheme="minorEastAsia" w:hint="eastAsia"/>
          <w:color w:val="auto"/>
          <w:sz w:val="24"/>
        </w:rPr>
        <w:t>3.预算金额：人民币237</w:t>
      </w:r>
      <w:r>
        <w:rPr>
          <w:rFonts w:asciiTheme="minorEastAsia" w:eastAsiaTheme="minorEastAsia" w:hAnsiTheme="minorEastAsia" w:hint="eastAsia"/>
          <w:color w:val="auto"/>
          <w:sz w:val="24"/>
          <w:lang w:val="en-US" w:eastAsia="zh-CN"/>
        </w:rPr>
        <w:t>.</w:t>
      </w:r>
      <w:r>
        <w:rPr>
          <w:rFonts w:asciiTheme="minorEastAsia" w:eastAsiaTheme="minorEastAsia" w:hAnsiTheme="minorEastAsia" w:hint="eastAsia"/>
          <w:color w:val="auto"/>
          <w:sz w:val="24"/>
        </w:rPr>
        <w:t>717万元</w:t>
      </w:r>
    </w:p>
    <w:p>
      <w:pPr>
        <w:spacing w:line="360" w:lineRule="auto"/>
        <w:ind w:firstLine="420" w:firstLineChars="200"/>
        <w:rPr>
          <w:rFonts w:asciiTheme="minorEastAsia" w:eastAsiaTheme="minorEastAsia" w:hAnsiTheme="minorEastAsia"/>
          <w:color w:val="auto"/>
          <w:sz w:val="24"/>
        </w:rPr>
      </w:pPr>
      <w:r>
        <w:rPr>
          <w:rFonts w:asciiTheme="minorEastAsia" w:eastAsiaTheme="minorEastAsia" w:hAnsiTheme="minorEastAsia" w:hint="eastAsia"/>
          <w:color w:val="auto"/>
          <w:sz w:val="24"/>
        </w:rPr>
        <w:t>4.最高限价：人民币237</w:t>
      </w:r>
      <w:r>
        <w:rPr>
          <w:rFonts w:asciiTheme="minorEastAsia" w:eastAsiaTheme="minorEastAsia" w:hAnsiTheme="minorEastAsia" w:hint="eastAsia"/>
          <w:color w:val="auto"/>
          <w:sz w:val="24"/>
          <w:lang w:val="en-US" w:eastAsia="zh-CN"/>
        </w:rPr>
        <w:t>.</w:t>
      </w:r>
      <w:r>
        <w:rPr>
          <w:rFonts w:asciiTheme="minorEastAsia" w:eastAsiaTheme="minorEastAsia" w:hAnsiTheme="minorEastAsia" w:hint="eastAsia"/>
          <w:color w:val="auto"/>
          <w:sz w:val="24"/>
        </w:rPr>
        <w:t>717万元</w:t>
      </w:r>
    </w:p>
    <w:p>
      <w:pPr>
        <w:spacing w:line="360" w:lineRule="auto"/>
        <w:ind w:firstLine="420" w:firstLineChars="200"/>
        <w:rPr>
          <w:rFonts w:asciiTheme="minorEastAsia" w:eastAsiaTheme="minorEastAsia" w:hAnsiTheme="minorEastAsia"/>
          <w:color w:val="auto"/>
          <w:sz w:val="24"/>
        </w:rPr>
      </w:pPr>
      <w:r>
        <w:rPr>
          <w:rFonts w:asciiTheme="minorEastAsia" w:eastAsiaTheme="minorEastAsia" w:hAnsiTheme="minorEastAsia" w:hint="eastAsia"/>
          <w:color w:val="auto"/>
          <w:sz w:val="24"/>
        </w:rPr>
        <w:t>5.</w:t>
      </w:r>
      <w:r>
        <w:rPr>
          <w:rFonts w:ascii="宋体" w:hAnsi="宋体" w:hint="eastAsia"/>
          <w:color w:val="auto"/>
          <w:sz w:val="24"/>
        </w:rPr>
        <w:t>采购需求：详见招标文件</w:t>
      </w:r>
    </w:p>
    <w:p>
      <w:pPr>
        <w:spacing w:line="360" w:lineRule="auto"/>
        <w:ind w:firstLine="420" w:firstLineChars="200"/>
        <w:rPr>
          <w:rFonts w:asciiTheme="minorEastAsia" w:eastAsiaTheme="minorEastAsia" w:hAnsiTheme="minorEastAsia" w:hint="eastAsia"/>
          <w:color w:val="FF0000"/>
          <w:sz w:val="24"/>
          <w:lang w:eastAsia="zh-CN"/>
        </w:rPr>
      </w:pPr>
      <w:r>
        <w:rPr>
          <w:rFonts w:asciiTheme="minorEastAsia" w:eastAsiaTheme="minorEastAsia" w:hAnsiTheme="minorEastAsia" w:hint="eastAsia"/>
          <w:sz w:val="24"/>
        </w:rPr>
        <w:t>6.合同履行期限：本项目服务期自合同签订之日起至2024年9月30日</w:t>
      </w:r>
      <w:r>
        <w:rPr>
          <w:rFonts w:asciiTheme="minorEastAsia" w:eastAsiaTheme="minorEastAsia" w:hAnsiTheme="minorEastAsia" w:hint="eastAsia"/>
          <w:sz w:val="24"/>
          <w:lang w:eastAsia="zh-CN"/>
        </w:rPr>
        <w:t>。</w:t>
      </w:r>
    </w:p>
    <w:p>
      <w:pPr>
        <w:spacing w:line="360" w:lineRule="auto"/>
        <w:ind w:firstLine="420" w:firstLineChars="200"/>
        <w:rPr>
          <w:rFonts w:ascii="宋体" w:hAnsi="宋体" w:cs="宋体"/>
          <w:color w:val="auto"/>
          <w:kern w:val="0"/>
          <w:sz w:val="24"/>
        </w:rPr>
      </w:pPr>
      <w:r>
        <w:rPr>
          <w:rFonts w:asciiTheme="minorEastAsia" w:eastAsiaTheme="minorEastAsia" w:hAnsiTheme="minorEastAsia" w:hint="eastAsia"/>
          <w:color w:val="auto"/>
          <w:sz w:val="24"/>
          <w:lang w:val="en-US" w:eastAsia="zh-CN"/>
        </w:rPr>
        <w:t>7</w:t>
      </w:r>
      <w:r>
        <w:rPr>
          <w:rFonts w:asciiTheme="minorEastAsia" w:eastAsiaTheme="minorEastAsia" w:hAnsiTheme="minorEastAsia"/>
          <w:color w:val="auto"/>
          <w:sz w:val="24"/>
        </w:rPr>
        <w:t>.</w:t>
      </w:r>
      <w:r>
        <w:rPr>
          <w:rFonts w:asciiTheme="minorEastAsia" w:eastAsiaTheme="minorEastAsia" w:hAnsiTheme="minorEastAsia" w:hint="eastAsia"/>
          <w:color w:val="auto"/>
          <w:sz w:val="24"/>
        </w:rPr>
        <w:t>不</w:t>
      </w:r>
      <w:r>
        <w:rPr>
          <w:rFonts w:ascii="宋体" w:hAnsi="宋体" w:cs="宋体" w:hint="eastAsia"/>
          <w:color w:val="auto"/>
          <w:kern w:val="0"/>
          <w:sz w:val="24"/>
        </w:rPr>
        <w:t>接受投标人选用进口产品参与投标。</w:t>
      </w:r>
      <w:bookmarkStart w:id="17" w:name="_Hlk50363506"/>
    </w:p>
    <w:p>
      <w:pPr>
        <w:spacing w:line="360" w:lineRule="auto"/>
        <w:ind w:firstLine="420" w:firstLineChars="200"/>
        <w:rPr>
          <w:rFonts w:ascii="宋体"/>
          <w:bCs/>
          <w:color w:val="auto"/>
          <w:sz w:val="24"/>
        </w:rPr>
      </w:pPr>
      <w:r>
        <w:rPr>
          <w:rFonts w:ascii="宋体" w:hAnsi="宋体" w:hint="eastAsia"/>
          <w:bCs/>
          <w:color w:val="auto"/>
          <w:sz w:val="24"/>
          <w:lang w:val="en-US" w:eastAsia="zh-CN"/>
        </w:rPr>
        <w:t>8</w:t>
      </w:r>
      <w:r>
        <w:rPr>
          <w:rFonts w:ascii="宋体" w:hAnsi="宋体"/>
          <w:bCs/>
          <w:color w:val="auto"/>
          <w:sz w:val="24"/>
        </w:rPr>
        <w:t>.</w:t>
      </w:r>
      <w:r>
        <w:rPr>
          <w:rFonts w:ascii="宋体" w:hAnsi="宋体" w:hint="eastAsia"/>
          <w:bCs/>
          <w:color w:val="auto"/>
          <w:sz w:val="24"/>
        </w:rPr>
        <w:t>其他：政府采购监督管理部门为</w:t>
      </w:r>
      <w:r>
        <w:rPr>
          <w:rFonts w:ascii="宋体" w:hint="eastAsia"/>
          <w:bCs/>
          <w:color w:val="auto"/>
          <w:sz w:val="24"/>
        </w:rPr>
        <w:t>深圳市财政局</w:t>
      </w:r>
      <w:bookmarkEnd w:id="17"/>
      <w:r>
        <w:rPr>
          <w:rFonts w:ascii="宋体" w:hint="eastAsia"/>
          <w:bCs/>
          <w:color w:val="auto"/>
          <w:sz w:val="24"/>
        </w:rPr>
        <w:t>。</w:t>
      </w:r>
      <w:bookmarkEnd w:id="9"/>
      <w:bookmarkStart w:id="18" w:name="_Hlk65850659"/>
      <w:bookmarkStart w:id="19" w:name="_Toc28359003"/>
      <w:bookmarkStart w:id="20" w:name="_Toc35393622"/>
      <w:bookmarkStart w:id="21" w:name="_Toc35393791"/>
      <w:bookmarkStart w:id="22" w:name="_Toc28359080"/>
    </w:p>
    <w:p>
      <w:pPr>
        <w:pStyle w:val="Heading2"/>
        <w:adjustRightInd w:val="0"/>
        <w:snapToGrid w:val="0"/>
        <w:spacing w:line="360" w:lineRule="auto"/>
        <w:rPr>
          <w:rFonts w:asciiTheme="minorEastAsia" w:eastAsiaTheme="minorEastAsia" w:hAnsiTheme="minorEastAsia" w:cs="宋体"/>
          <w:b w:val="0"/>
          <w:sz w:val="24"/>
          <w:szCs w:val="24"/>
        </w:rPr>
      </w:pPr>
      <w:bookmarkEnd w:id="18"/>
      <w:bookmarkStart w:id="23" w:name="_Toc24303"/>
      <w:bookmarkStart w:id="24" w:name="_Toc256000002"/>
      <w:r>
        <w:rPr>
          <w:rFonts w:asciiTheme="minorEastAsia" w:eastAsiaTheme="minorEastAsia" w:hAnsiTheme="minorEastAsia" w:cs="宋体" w:hint="eastAsia"/>
          <w:b w:val="0"/>
          <w:sz w:val="24"/>
          <w:szCs w:val="24"/>
        </w:rPr>
        <w:t>二、供应商的资格要求</w:t>
      </w:r>
      <w:bookmarkEnd w:id="24"/>
      <w:bookmarkEnd w:id="19"/>
      <w:bookmarkEnd w:id="20"/>
      <w:bookmarkEnd w:id="21"/>
      <w:bookmarkEnd w:id="22"/>
      <w:bookmarkEnd w:id="23"/>
    </w:p>
    <w:p>
      <w:pPr>
        <w:adjustRightInd w:val="0"/>
        <w:snapToGrid w:val="0"/>
        <w:spacing w:line="360" w:lineRule="auto"/>
        <w:ind w:firstLine="420" w:firstLineChars="200"/>
        <w:rPr>
          <w:rFonts w:asciiTheme="minorEastAsia" w:eastAsiaTheme="minorEastAsia" w:hAnsiTheme="minorEastAsia"/>
          <w:color w:val="auto"/>
          <w:sz w:val="24"/>
        </w:rPr>
      </w:pPr>
      <w:r>
        <w:rPr>
          <w:rFonts w:asciiTheme="minorEastAsia" w:eastAsiaTheme="minorEastAsia" w:hAnsiTheme="minorEastAsia" w:hint="eastAsia"/>
          <w:sz w:val="24"/>
        </w:rPr>
        <w:t>1.满足《中华人民共和国政府采购法》第二十二条规定（要求投标人提供营业执照或事业单位法人证等法人证明扫描件</w:t>
      </w:r>
      <w:r>
        <w:rPr>
          <w:rFonts w:asciiTheme="minorEastAsia" w:eastAsiaTheme="minorEastAsia" w:hAnsiTheme="minorEastAsia" w:hint="eastAsia"/>
          <w:color w:val="auto"/>
          <w:sz w:val="24"/>
        </w:rPr>
        <w:t>以及《政府采购投标及履约承诺函》）。</w:t>
      </w:r>
    </w:p>
    <w:p>
      <w:pPr>
        <w:adjustRightInd w:val="0"/>
        <w:snapToGrid w:val="0"/>
        <w:spacing w:line="360" w:lineRule="auto"/>
        <w:ind w:firstLine="420" w:firstLineChars="200"/>
        <w:rPr>
          <w:rFonts w:asciiTheme="minorEastAsia" w:eastAsiaTheme="minorEastAsia" w:hAnsiTheme="minorEastAsia"/>
          <w:color w:val="auto"/>
          <w:sz w:val="24"/>
          <w:u w:val="single"/>
        </w:rPr>
      </w:pPr>
      <w:bookmarkStart w:id="25" w:name="_Toc28359081"/>
      <w:bookmarkStart w:id="26" w:name="_Toc28359004"/>
      <w:r>
        <w:rPr>
          <w:rFonts w:asciiTheme="minorEastAsia" w:eastAsiaTheme="minorEastAsia" w:hAnsiTheme="minorEastAsia"/>
          <w:color w:val="auto"/>
          <w:sz w:val="24"/>
        </w:rPr>
        <w:t>2</w:t>
      </w:r>
      <w:r>
        <w:rPr>
          <w:rFonts w:asciiTheme="minorEastAsia" w:eastAsiaTheme="minorEastAsia" w:hAnsiTheme="minorEastAsia" w:hint="eastAsia"/>
          <w:color w:val="auto"/>
          <w:sz w:val="24"/>
        </w:rPr>
        <w:t>.</w:t>
      </w:r>
      <w:r>
        <w:rPr>
          <w:rFonts w:ascii="宋体" w:hAnsi="宋体" w:cs="仿宋_GB2312" w:hint="eastAsia"/>
          <w:color w:val="auto"/>
          <w:sz w:val="24"/>
        </w:rPr>
        <w:t>落实政府采购政策需满足的资格要求</w:t>
      </w:r>
      <w:r>
        <w:rPr>
          <w:rFonts w:asciiTheme="minorEastAsia" w:eastAsiaTheme="minorEastAsia" w:hAnsiTheme="minorEastAsia" w:hint="eastAsia"/>
          <w:color w:val="auto"/>
          <w:sz w:val="24"/>
        </w:rPr>
        <w:t>：无。</w:t>
      </w:r>
    </w:p>
    <w:p>
      <w:pPr>
        <w:adjustRightInd w:val="0"/>
        <w:snapToGrid w:val="0"/>
        <w:spacing w:line="360" w:lineRule="auto"/>
        <w:ind w:firstLine="420" w:firstLineChars="200"/>
        <w:rPr>
          <w:rFonts w:asciiTheme="minorEastAsia" w:eastAsiaTheme="minorEastAsia" w:hAnsiTheme="minorEastAsia"/>
          <w:i/>
          <w:iCs/>
          <w:color w:val="auto"/>
          <w:sz w:val="24"/>
          <w:u w:val="single"/>
        </w:rPr>
      </w:pPr>
      <w:r>
        <w:rPr>
          <w:rFonts w:asciiTheme="minorEastAsia" w:eastAsiaTheme="minorEastAsia" w:hAnsiTheme="minorEastAsia" w:hint="eastAsia"/>
          <w:color w:val="auto"/>
          <w:sz w:val="24"/>
        </w:rPr>
        <w:t>3.本项目的特定资格要求：</w:t>
      </w:r>
      <w:bookmarkStart w:id="27" w:name="_Hlk41992228"/>
      <w:r>
        <w:rPr>
          <w:rFonts w:asciiTheme="minorEastAsia" w:eastAsiaTheme="minorEastAsia" w:hAnsiTheme="minorEastAsia" w:hint="eastAsia"/>
          <w:color w:val="auto"/>
          <w:sz w:val="24"/>
        </w:rPr>
        <w:t>无</w:t>
      </w:r>
      <w:r>
        <w:rPr>
          <w:rStyle w:val="CommentReference"/>
          <w:rFonts w:asciiTheme="minorHAnsi" w:eastAsiaTheme="minorEastAsia" w:hAnsiTheme="minorHAnsi" w:cstheme="minorBidi" w:hint="eastAsia"/>
          <w:color w:val="auto"/>
        </w:rPr>
        <w:t>。</w:t>
      </w:r>
      <w:bookmarkEnd w:id="27"/>
    </w:p>
    <w:p>
      <w:pPr>
        <w:adjustRightInd w:val="0"/>
        <w:snapToGrid w:val="0"/>
        <w:spacing w:line="360" w:lineRule="auto"/>
        <w:ind w:firstLine="420" w:firstLineChars="200"/>
        <w:rPr>
          <w:rFonts w:asciiTheme="minorEastAsia" w:eastAsiaTheme="minorEastAsia" w:hAnsiTheme="minorEastAsia"/>
          <w:sz w:val="24"/>
        </w:rPr>
      </w:pPr>
      <w:r>
        <w:rPr>
          <w:rFonts w:asciiTheme="minorEastAsia" w:eastAsiaTheme="minorEastAsia" w:hAnsiTheme="minorEastAsia" w:hint="eastAsia"/>
          <w:color w:val="auto"/>
          <w:sz w:val="24"/>
        </w:rPr>
        <w:t>4.参与本项目投标前三年内，在经</w:t>
      </w:r>
      <w:r>
        <w:rPr>
          <w:rFonts w:asciiTheme="minorEastAsia" w:eastAsiaTheme="minorEastAsia" w:hAnsiTheme="minorEastAsia" w:hint="eastAsia"/>
          <w:color w:val="auto"/>
          <w:sz w:val="24"/>
          <w:highlight w:val="none"/>
        </w:rPr>
        <w:t>营</w:t>
      </w:r>
      <w:r>
        <w:rPr>
          <w:rFonts w:asciiTheme="minorEastAsia" w:eastAsiaTheme="minorEastAsia" w:hAnsiTheme="minorEastAsia" w:hint="eastAsia"/>
          <w:sz w:val="24"/>
          <w:highlight w:val="none"/>
        </w:rPr>
        <w:t>活动中没有重大违法记录（由供应商在《政府采购投标及履约承诺函》中作出声明）</w:t>
      </w:r>
      <w:r>
        <w:rPr>
          <w:rFonts w:asciiTheme="minorEastAsia" w:eastAsiaTheme="minorEastAsia" w:hAnsiTheme="minorEastAsia" w:hint="eastAsia"/>
          <w:sz w:val="24"/>
          <w:highlight w:val="none"/>
          <w:lang w:eastAsia="zh-CN"/>
        </w:rPr>
        <w:t>（</w:t>
      </w:r>
      <w:r>
        <w:rPr>
          <w:rFonts w:ascii="宋体" w:eastAsia="宋体" w:hAnsi="宋体" w:cs="宋体"/>
          <w:sz w:val="24"/>
          <w:szCs w:val="24"/>
          <w:highlight w:val="none"/>
        </w:rPr>
        <w:t>重大违法记录是指供应商因违法经营受到刑事处罚或者责令停产停业、吊销许可证或者执照、较大数额罚款等行政处罚（根据财库〔2022〕3号文，“较大数额罚款”认定为200万元以上的罚款，法律、行政法规以及国务院有关部门明确规定相关领域“较大数额罚款”标准高于200万元的，从其规定</w:t>
      </w:r>
      <w:r>
        <w:rPr>
          <w:rFonts w:asciiTheme="minorEastAsia" w:eastAsiaTheme="minorEastAsia" w:hAnsiTheme="minorEastAsia" w:hint="eastAsia"/>
          <w:sz w:val="24"/>
          <w:highlight w:val="none"/>
          <w:lang w:eastAsia="zh-CN"/>
        </w:rPr>
        <w:t>））</w:t>
      </w:r>
      <w:r>
        <w:rPr>
          <w:rFonts w:asciiTheme="minorEastAsia" w:eastAsiaTheme="minorEastAsia" w:hAnsiTheme="minorEastAsia" w:hint="eastAsia"/>
          <w:sz w:val="24"/>
          <w:highlight w:val="none"/>
        </w:rPr>
        <w:t>。</w:t>
      </w:r>
    </w:p>
    <w:p>
      <w:pPr>
        <w:adjustRightInd w:val="0"/>
        <w:snapToGrid w:val="0"/>
        <w:spacing w:line="360" w:lineRule="auto"/>
        <w:ind w:firstLine="420" w:firstLineChars="200"/>
        <w:rPr>
          <w:rFonts w:asciiTheme="minorEastAsia" w:eastAsiaTheme="minorEastAsia" w:hAnsiTheme="minorEastAsia"/>
          <w:sz w:val="24"/>
        </w:rPr>
      </w:pPr>
      <w:bookmarkStart w:id="28" w:name="_Hlk50363588"/>
      <w:r>
        <w:rPr>
          <w:rFonts w:asciiTheme="minorEastAsia" w:eastAsiaTheme="minorEastAsia" w:hAnsiTheme="minorEastAsia" w:hint="eastAsia"/>
          <w:sz w:val="24"/>
        </w:rPr>
        <w:t>5.参与本项目政府采购活动时不存在被有关部门禁止参与政府采购活动且在有效期内的情况（由供应商在《政府采购投标及履约承诺函》中作出声明）。</w:t>
      </w:r>
    </w:p>
    <w:p>
      <w:pPr>
        <w:adjustRightInd w:val="0"/>
        <w:snapToGrid w:val="0"/>
        <w:spacing w:line="360" w:lineRule="auto"/>
        <w:ind w:firstLine="420" w:firstLineChars="200"/>
        <w:rPr>
          <w:rFonts w:ascii="宋体" w:hAnsi="宋体"/>
          <w:sz w:val="24"/>
        </w:rPr>
      </w:pPr>
      <w:bookmarkStart w:id="29" w:name="_Hlk50362743"/>
      <w:r>
        <w:rPr>
          <w:rFonts w:ascii="宋体" w:hAnsi="宋体"/>
          <w:bCs/>
          <w:sz w:val="24"/>
        </w:rPr>
        <w:t>6.</w:t>
      </w:r>
      <w:r>
        <w:rPr>
          <w:rFonts w:ascii="宋体" w:hAnsi="宋体" w:hint="eastAsia"/>
          <w:bCs/>
          <w:sz w:val="24"/>
        </w:rPr>
        <w:t>为采购项目提供整体设计、规范编制或者项目管理、监理、检测等服务的供应商，不得再参加该采购项目</w:t>
      </w:r>
      <w:r>
        <w:rPr>
          <w:rFonts w:hint="eastAsia"/>
          <w:bCs/>
          <w:sz w:val="24"/>
        </w:rPr>
        <w:t>同一合同项下</w:t>
      </w:r>
      <w:r>
        <w:rPr>
          <w:rFonts w:ascii="宋体" w:hAnsi="宋体" w:hint="eastAsia"/>
          <w:bCs/>
          <w:sz w:val="24"/>
        </w:rPr>
        <w:t>的其他采购活动</w:t>
      </w:r>
      <w:r>
        <w:rPr>
          <w:rFonts w:ascii="宋体" w:hAnsi="宋体" w:hint="eastAsia"/>
          <w:bCs/>
          <w:sz w:val="24"/>
          <w:szCs w:val="20"/>
        </w:rPr>
        <w:t>（</w:t>
      </w:r>
      <w:r>
        <w:rPr>
          <w:rFonts w:asciiTheme="minorEastAsia" w:eastAsiaTheme="minorEastAsia" w:hAnsiTheme="minorEastAsia" w:hint="eastAsia"/>
          <w:sz w:val="24"/>
        </w:rPr>
        <w:t>由供应商在《政府采购投标及履约承诺函》中作出声明</w:t>
      </w:r>
      <w:r>
        <w:rPr>
          <w:rFonts w:ascii="宋体" w:hAnsi="宋体" w:hint="eastAsia"/>
          <w:bCs/>
          <w:sz w:val="24"/>
          <w:szCs w:val="20"/>
        </w:rPr>
        <w:t>）</w:t>
      </w:r>
      <w:r>
        <w:rPr>
          <w:rFonts w:ascii="宋体" w:hAnsi="宋体" w:hint="eastAsia"/>
          <w:bCs/>
          <w:sz w:val="24"/>
        </w:rPr>
        <w:t>。</w:t>
      </w:r>
    </w:p>
    <w:p>
      <w:pPr>
        <w:adjustRightInd w:val="0"/>
        <w:snapToGrid w:val="0"/>
        <w:spacing w:line="360" w:lineRule="auto"/>
        <w:ind w:firstLine="420" w:firstLineChars="200"/>
        <w:rPr>
          <w:rFonts w:ascii="宋体" w:hAnsi="宋体"/>
          <w:bCs/>
          <w:sz w:val="24"/>
        </w:rPr>
      </w:pPr>
      <w:r>
        <w:rPr>
          <w:rFonts w:ascii="宋体" w:hAnsi="宋体"/>
          <w:bCs/>
          <w:sz w:val="24"/>
        </w:rPr>
        <w:t>7.</w:t>
      </w:r>
      <w:r>
        <w:rPr>
          <w:rFonts w:ascii="宋体" w:hAnsi="宋体" w:hint="eastAsia"/>
          <w:bCs/>
          <w:sz w:val="24"/>
        </w:rPr>
        <w:t>单位负责人为同一人或者存在直接控股、管理关系的不同供应商，不得参加同一合同项下的政府采购活动</w:t>
      </w:r>
      <w:r>
        <w:rPr>
          <w:rFonts w:ascii="宋体" w:hAnsi="宋体" w:hint="eastAsia"/>
          <w:bCs/>
          <w:sz w:val="24"/>
          <w:szCs w:val="20"/>
        </w:rPr>
        <w:t>（</w:t>
      </w:r>
      <w:r>
        <w:rPr>
          <w:rFonts w:asciiTheme="minorEastAsia" w:eastAsiaTheme="minorEastAsia" w:hAnsiTheme="minorEastAsia" w:hint="eastAsia"/>
          <w:sz w:val="24"/>
        </w:rPr>
        <w:t>由供应商在《政府采购投标及履约承诺函》中作出声明</w:t>
      </w:r>
      <w:r>
        <w:rPr>
          <w:rFonts w:ascii="宋体" w:hAnsi="宋体" w:hint="eastAsia"/>
          <w:bCs/>
          <w:sz w:val="24"/>
          <w:szCs w:val="20"/>
        </w:rPr>
        <w:t>）</w:t>
      </w:r>
      <w:r>
        <w:rPr>
          <w:rFonts w:ascii="宋体" w:hAnsi="宋体" w:hint="eastAsia"/>
          <w:bCs/>
          <w:sz w:val="24"/>
        </w:rPr>
        <w:t>。</w:t>
      </w:r>
    </w:p>
    <w:p>
      <w:pPr>
        <w:adjustRightInd w:val="0"/>
        <w:snapToGrid w:val="0"/>
        <w:spacing w:line="360" w:lineRule="auto"/>
        <w:ind w:firstLine="420" w:firstLineChars="200"/>
        <w:rPr>
          <w:rFonts w:asciiTheme="minorEastAsia" w:eastAsiaTheme="minorEastAsia" w:hAnsiTheme="minorEastAsia" w:hint="eastAsia"/>
          <w:sz w:val="24"/>
        </w:rPr>
      </w:pPr>
      <w:r>
        <w:rPr>
          <w:rFonts w:asciiTheme="minorEastAsia" w:eastAsiaTheme="minorEastAsia" w:hAnsiTheme="minorEastAsia"/>
          <w:sz w:val="24"/>
        </w:rPr>
        <w:t>8</w:t>
      </w:r>
      <w:r>
        <w:rPr>
          <w:rFonts w:asciiTheme="minorEastAsia" w:eastAsiaTheme="minorEastAsia" w:hAnsiTheme="minorEastAsia" w:hint="eastAsia"/>
          <w:sz w:val="24"/>
        </w:rPr>
        <w:t>.未</w:t>
      </w:r>
      <w:bookmarkStart w:id="30" w:name="_Hlk41992259"/>
      <w:r>
        <w:rPr>
          <w:rFonts w:asciiTheme="minorEastAsia" w:eastAsiaTheme="minorEastAsia" w:hAnsiTheme="minorEastAsia" w:hint="eastAsia"/>
          <w:sz w:val="24"/>
        </w:rPr>
        <w:t>被列入失信被执行人、</w:t>
      </w:r>
      <w:r>
        <w:rPr>
          <w:rFonts w:asciiTheme="minorEastAsia" w:eastAsiaTheme="minorEastAsia" w:hAnsiTheme="minorEastAsia"/>
          <w:sz w:val="24"/>
        </w:rPr>
        <w:t>重大税收违法案件当事人名单（税收违法黑名单）</w:t>
      </w:r>
      <w:r>
        <w:rPr>
          <w:rFonts w:asciiTheme="minorEastAsia" w:eastAsiaTheme="minorEastAsia" w:hAnsiTheme="minorEastAsia" w:hint="eastAsia"/>
          <w:sz w:val="24"/>
        </w:rPr>
        <w:t>、政府采购严重违法失信行为记录名单（由供应商在《政府采购投标及履约承诺函》中作出声明）。注：“信用中国”、“中国政府采购网”、“深圳信用网”以及“深圳市政府采购监管网”为供应商信用信息的查询渠道，相关信息以开标当日的查询结果为准。</w:t>
      </w:r>
      <w:bookmarkEnd w:id="30"/>
    </w:p>
    <w:p>
      <w:pPr>
        <w:spacing w:line="360" w:lineRule="auto"/>
        <w:ind w:firstLine="420" w:firstLineChars="200"/>
        <w:rPr>
          <w:rFonts w:asciiTheme="minorEastAsia" w:eastAsiaTheme="minorEastAsia" w:hAnsiTheme="minorEastAsia"/>
          <w:color w:val="auto"/>
          <w:sz w:val="24"/>
        </w:rPr>
      </w:pPr>
      <w:r>
        <w:rPr>
          <w:rFonts w:asciiTheme="minorEastAsia" w:eastAsiaTheme="minorEastAsia" w:hAnsiTheme="minorEastAsia" w:hint="eastAsia"/>
          <w:sz w:val="24"/>
          <w:lang w:val="en-US" w:eastAsia="zh-CN"/>
        </w:rPr>
        <w:t>9</w:t>
      </w:r>
      <w:r>
        <w:rPr>
          <w:rFonts w:asciiTheme="minorEastAsia" w:eastAsiaTheme="minorEastAsia" w:hAnsiTheme="minorEastAsia" w:hint="eastAsia"/>
          <w:sz w:val="24"/>
        </w:rPr>
        <w:t>.本项</w:t>
      </w:r>
      <w:r>
        <w:rPr>
          <w:rFonts w:asciiTheme="minorEastAsia" w:eastAsiaTheme="minorEastAsia" w:hAnsiTheme="minorEastAsia" w:hint="eastAsia"/>
          <w:color w:val="auto"/>
          <w:sz w:val="24"/>
        </w:rPr>
        <w:t>目不接受联合体投标，不允许转包分包。</w:t>
      </w:r>
    </w:p>
    <w:p>
      <w:pPr>
        <w:adjustRightInd w:val="0"/>
        <w:snapToGrid w:val="0"/>
        <w:spacing w:line="360" w:lineRule="auto"/>
        <w:ind w:firstLine="420" w:firstLineChars="200"/>
        <w:rPr>
          <w:rFonts w:asciiTheme="minorEastAsia" w:eastAsiaTheme="minorEastAsia" w:hAnsiTheme="minorEastAsia" w:hint="eastAsia"/>
          <w:sz w:val="24"/>
        </w:rPr>
      </w:pPr>
      <w:r>
        <w:rPr>
          <w:rFonts w:asciiTheme="minorEastAsia" w:eastAsiaTheme="minorEastAsia" w:hAnsiTheme="minorEastAsia" w:hint="eastAsia"/>
          <w:sz w:val="24"/>
          <w:lang w:val="en-US" w:eastAsia="zh-CN"/>
        </w:rPr>
        <w:t>10</w:t>
      </w:r>
      <w:r>
        <w:rPr>
          <w:rFonts w:asciiTheme="minorEastAsia" w:eastAsiaTheme="minorEastAsia" w:hAnsiTheme="minorEastAsia" w:hint="eastAsia"/>
          <w:sz w:val="24"/>
        </w:rPr>
        <w:t>.投标人参加本项目投标需提供未侵犯他人知识产权的合规性书面承诺（提供《知识产权合规性承诺》）</w:t>
      </w:r>
      <w:r>
        <w:rPr>
          <w:rFonts w:asciiTheme="minorEastAsia" w:eastAsiaTheme="minorEastAsia" w:hAnsiTheme="minorEastAsia" w:hint="eastAsia"/>
          <w:sz w:val="24"/>
          <w:lang w:eastAsia="zh-CN"/>
        </w:rPr>
        <w:t>。</w:t>
      </w:r>
    </w:p>
    <w:p>
      <w:pPr>
        <w:adjustRightInd w:val="0"/>
        <w:snapToGrid w:val="0"/>
        <w:spacing w:line="360" w:lineRule="auto"/>
        <w:ind w:firstLine="420" w:firstLineChars="200"/>
        <w:rPr>
          <w:rFonts w:asciiTheme="minorEastAsia" w:eastAsiaTheme="minorEastAsia" w:hAnsiTheme="minorEastAsia" w:hint="eastAsia"/>
          <w:sz w:val="24"/>
        </w:rPr>
      </w:pPr>
      <w:r>
        <w:rPr>
          <w:rFonts w:asciiTheme="minorEastAsia" w:eastAsiaTheme="minorEastAsia" w:hAnsiTheme="minorEastAsia" w:hint="eastAsia"/>
          <w:sz w:val="24"/>
        </w:rPr>
        <w:t>1</w:t>
      </w:r>
      <w:r>
        <w:rPr>
          <w:rFonts w:asciiTheme="minorEastAsia" w:eastAsiaTheme="minorEastAsia" w:hAnsiTheme="minorEastAsia" w:hint="eastAsia"/>
          <w:sz w:val="24"/>
          <w:lang w:val="en-US" w:eastAsia="zh-CN"/>
        </w:rPr>
        <w:t>1</w:t>
      </w:r>
      <w:r>
        <w:rPr>
          <w:rFonts w:asciiTheme="minorEastAsia" w:eastAsiaTheme="minorEastAsia" w:hAnsiTheme="minorEastAsia" w:hint="eastAsia"/>
          <w:sz w:val="24"/>
        </w:rPr>
        <w:t>.投标人未参与深圳市碳资产管理和碳交易活动，不存在与深圳市从事碳资产管理与碳交易公司存在资产和管理方面的利益关系，如隶属于同一个上级机构、存在股权关系、同属于同一实际控制人等情况。（提供承诺函作为证明材料，格式自拟）</w:t>
      </w:r>
    </w:p>
    <w:p>
      <w:pPr>
        <w:adjustRightInd w:val="0"/>
        <w:snapToGrid w:val="0"/>
        <w:spacing w:line="360" w:lineRule="auto"/>
        <w:ind w:firstLine="420" w:firstLineChars="200"/>
        <w:rPr>
          <w:rFonts w:asciiTheme="minorEastAsia" w:eastAsiaTheme="minorEastAsia" w:hAnsiTheme="minorEastAsia"/>
          <w:sz w:val="24"/>
        </w:rPr>
      </w:pPr>
      <w:r>
        <w:rPr>
          <w:rFonts w:asciiTheme="minorEastAsia" w:eastAsiaTheme="minorEastAsia" w:hAnsiTheme="minorEastAsia" w:hint="eastAsia"/>
          <w:sz w:val="24"/>
        </w:rPr>
        <w:t>12.本项目服务内容与“2022年新增管控单位基准年碳核查工作”项目存在利益相关性，因此“2022年新增管控单位基准年碳核查工作”项目的中标人不得参加本项目投标活动。（投标人无需提供材料，以工作人员查询结果为准）</w:t>
      </w:r>
    </w:p>
    <w:p>
      <w:pPr>
        <w:pStyle w:val="Heading2"/>
        <w:adjustRightInd w:val="0"/>
        <w:snapToGrid w:val="0"/>
        <w:spacing w:line="360" w:lineRule="auto"/>
        <w:rPr>
          <w:rFonts w:asciiTheme="minorEastAsia" w:eastAsiaTheme="minorEastAsia" w:hAnsiTheme="minorEastAsia" w:cs="宋体"/>
          <w:b w:val="0"/>
          <w:sz w:val="24"/>
          <w:szCs w:val="24"/>
        </w:rPr>
      </w:pPr>
      <w:bookmarkEnd w:id="28"/>
      <w:bookmarkEnd w:id="29"/>
      <w:bookmarkStart w:id="31" w:name="_Toc13262"/>
      <w:bookmarkStart w:id="32" w:name="_Toc35393792"/>
      <w:bookmarkStart w:id="33" w:name="_Toc35393623"/>
      <w:bookmarkStart w:id="34" w:name="_Toc256000003"/>
      <w:r>
        <w:rPr>
          <w:rFonts w:asciiTheme="minorEastAsia" w:eastAsiaTheme="minorEastAsia" w:hAnsiTheme="minorEastAsia" w:cs="宋体" w:hint="eastAsia"/>
          <w:b w:val="0"/>
          <w:sz w:val="24"/>
          <w:szCs w:val="24"/>
        </w:rPr>
        <w:t>三、获取招标文件</w:t>
      </w:r>
      <w:bookmarkEnd w:id="34"/>
      <w:bookmarkEnd w:id="25"/>
      <w:bookmarkEnd w:id="26"/>
      <w:bookmarkEnd w:id="31"/>
      <w:bookmarkEnd w:id="32"/>
      <w:bookmarkEnd w:id="33"/>
    </w:p>
    <w:p>
      <w:pPr>
        <w:adjustRightInd w:val="0"/>
        <w:snapToGrid w:val="0"/>
        <w:spacing w:line="360" w:lineRule="auto"/>
        <w:ind w:firstLine="540"/>
        <w:jc w:val="left"/>
        <w:rPr>
          <w:rFonts w:asciiTheme="minorEastAsia" w:eastAsiaTheme="minorEastAsia" w:hAnsiTheme="minorEastAsia"/>
          <w:sz w:val="24"/>
        </w:rPr>
      </w:pPr>
      <w:bookmarkStart w:id="35" w:name="_Toc28359082"/>
      <w:bookmarkStart w:id="36" w:name="_Toc28359005"/>
      <w:bookmarkStart w:id="37" w:name="_Toc35393793"/>
      <w:bookmarkStart w:id="38" w:name="_Toc35393624"/>
      <w:r>
        <w:rPr>
          <w:rFonts w:asciiTheme="minorEastAsia" w:eastAsiaTheme="minorEastAsia" w:hAnsiTheme="minorEastAsia" w:hint="eastAsia"/>
          <w:sz w:val="24"/>
        </w:rPr>
        <w:t>地点：登录深圳政府采购智慧平台（http://zfcg.szggzy.com:8081/）下载本项目的招标文件。</w:t>
      </w:r>
    </w:p>
    <w:p>
      <w:pPr>
        <w:adjustRightInd w:val="0"/>
        <w:snapToGrid w:val="0"/>
        <w:spacing w:line="360" w:lineRule="auto"/>
        <w:ind w:firstLine="540"/>
        <w:jc w:val="left"/>
        <w:rPr>
          <w:rFonts w:asciiTheme="minorEastAsia" w:eastAsiaTheme="minorEastAsia" w:hAnsiTheme="minorEastAsia"/>
          <w:sz w:val="24"/>
        </w:rPr>
      </w:pPr>
      <w:r>
        <w:rPr>
          <w:rFonts w:asciiTheme="minorEastAsia" w:eastAsiaTheme="minorEastAsia" w:hAnsiTheme="minorEastAsia" w:hint="eastAsia"/>
          <w:sz w:val="24"/>
        </w:rPr>
        <w:t>方式：在线下载。</w:t>
      </w:r>
    </w:p>
    <w:p>
      <w:pPr>
        <w:adjustRightInd w:val="0"/>
        <w:snapToGrid w:val="0"/>
        <w:spacing w:line="360" w:lineRule="auto"/>
        <w:ind w:firstLine="540"/>
        <w:jc w:val="left"/>
        <w:rPr>
          <w:rFonts w:asciiTheme="minorEastAsia" w:eastAsiaTheme="minorEastAsia" w:hAnsiTheme="minorEastAsia"/>
          <w:sz w:val="24"/>
        </w:rPr>
      </w:pPr>
      <w:r>
        <w:rPr>
          <w:rFonts w:asciiTheme="minorEastAsia" w:eastAsiaTheme="minorEastAsia" w:hAnsiTheme="minorEastAsia" w:hint="eastAsia"/>
          <w:sz w:val="24"/>
        </w:rPr>
        <w:t>售价：免费。</w:t>
      </w:r>
    </w:p>
    <w:p>
      <w:pPr>
        <w:adjustRightInd w:val="0"/>
        <w:snapToGrid w:val="0"/>
        <w:spacing w:line="360" w:lineRule="auto"/>
        <w:ind w:firstLine="540"/>
        <w:jc w:val="left"/>
        <w:rPr>
          <w:rFonts w:asciiTheme="minorEastAsia" w:eastAsiaTheme="minorEastAsia" w:hAnsiTheme="minorEastAsia"/>
          <w:sz w:val="24"/>
        </w:rPr>
      </w:pPr>
      <w:r>
        <w:rPr>
          <w:rFonts w:asciiTheme="minorEastAsia" w:eastAsiaTheme="minorEastAsia" w:hAnsiTheme="minorEastAsia" w:hint="eastAsia"/>
          <w:sz w:val="24"/>
        </w:rPr>
        <w:t>凡已注册的深圳市网上政府采购供应商，按照授予</w:t>
      </w:r>
      <w:r>
        <w:rPr>
          <w:rFonts w:asciiTheme="minorEastAsia" w:eastAsiaTheme="minorEastAsia" w:hAnsiTheme="minorEastAsia" w:hint="eastAsia"/>
          <w:color w:val="auto"/>
          <w:sz w:val="24"/>
        </w:rPr>
        <w:t>的操作权限，可于2022年</w:t>
      </w:r>
      <w:r>
        <w:rPr>
          <w:rFonts w:asciiTheme="minorEastAsia" w:eastAsiaTheme="minorEastAsia" w:hAnsiTheme="minorEastAsia" w:hint="eastAsia"/>
          <w:color w:val="auto"/>
          <w:sz w:val="24"/>
          <w:lang w:val="en-US" w:eastAsia="zh-CN"/>
        </w:rPr>
        <w:t>11</w:t>
      </w:r>
      <w:r>
        <w:rPr>
          <w:rFonts w:asciiTheme="minorEastAsia" w:eastAsiaTheme="minorEastAsia" w:hAnsiTheme="minorEastAsia" w:hint="eastAsia"/>
          <w:color w:val="auto"/>
          <w:sz w:val="24"/>
        </w:rPr>
        <w:t>月</w:t>
      </w:r>
      <w:r>
        <w:rPr>
          <w:rFonts w:asciiTheme="minorEastAsia" w:eastAsiaTheme="minorEastAsia" w:hAnsiTheme="minorEastAsia" w:hint="eastAsia"/>
          <w:color w:val="auto"/>
          <w:sz w:val="24"/>
          <w:lang w:val="en-US" w:eastAsia="zh-CN"/>
        </w:rPr>
        <w:t>24</w:t>
      </w:r>
      <w:r>
        <w:rPr>
          <w:rFonts w:asciiTheme="minorEastAsia" w:eastAsiaTheme="minorEastAsia" w:hAnsiTheme="minorEastAsia" w:hint="eastAsia"/>
          <w:color w:val="auto"/>
          <w:sz w:val="24"/>
        </w:rPr>
        <w:t>日至</w:t>
      </w:r>
      <w:r>
        <w:rPr>
          <w:rFonts w:asciiTheme="minorEastAsia" w:eastAsiaTheme="minorEastAsia" w:hAnsiTheme="minorEastAsia" w:hint="eastAsia"/>
          <w:color w:val="auto"/>
          <w:sz w:val="24"/>
          <w:lang w:val="en-US" w:eastAsia="zh-CN"/>
        </w:rPr>
        <w:t>2022</w:t>
      </w:r>
      <w:r>
        <w:rPr>
          <w:rFonts w:asciiTheme="minorEastAsia" w:eastAsiaTheme="minorEastAsia" w:hAnsiTheme="minorEastAsia" w:hint="eastAsia"/>
          <w:bCs/>
          <w:color w:val="auto"/>
          <w:sz w:val="24"/>
        </w:rPr>
        <w:t>年</w:t>
      </w:r>
      <w:r>
        <w:rPr>
          <w:rFonts w:asciiTheme="minorEastAsia" w:eastAsiaTheme="minorEastAsia" w:hAnsiTheme="minorEastAsia" w:hint="eastAsia"/>
          <w:bCs/>
          <w:color w:val="auto"/>
          <w:sz w:val="24"/>
          <w:lang w:val="en-US" w:eastAsia="zh-CN"/>
        </w:rPr>
        <w:t>12</w:t>
      </w:r>
      <w:r>
        <w:rPr>
          <w:rFonts w:asciiTheme="minorEastAsia" w:eastAsiaTheme="minorEastAsia" w:hAnsiTheme="minorEastAsia" w:hint="eastAsia"/>
          <w:bCs/>
          <w:color w:val="auto"/>
          <w:sz w:val="24"/>
        </w:rPr>
        <w:t>月</w:t>
      </w:r>
      <w:r>
        <w:rPr>
          <w:rFonts w:asciiTheme="minorEastAsia" w:eastAsiaTheme="minorEastAsia" w:hAnsiTheme="minorEastAsia" w:hint="eastAsia"/>
          <w:bCs/>
          <w:color w:val="auto"/>
          <w:sz w:val="24"/>
          <w:lang w:val="en-US" w:eastAsia="zh-CN"/>
        </w:rPr>
        <w:t>6</w:t>
      </w:r>
      <w:r>
        <w:rPr>
          <w:rFonts w:asciiTheme="minorEastAsia" w:eastAsiaTheme="minorEastAsia" w:hAnsiTheme="minorEastAsia" w:hint="eastAsia"/>
          <w:bCs/>
          <w:color w:val="auto"/>
          <w:sz w:val="24"/>
        </w:rPr>
        <w:t>日</w:t>
      </w:r>
      <w:r>
        <w:rPr>
          <w:rFonts w:asciiTheme="minorEastAsia" w:eastAsiaTheme="minorEastAsia" w:hAnsiTheme="minorEastAsia" w:hint="eastAsia"/>
          <w:bCs/>
          <w:color w:val="auto"/>
          <w:sz w:val="24"/>
          <w:lang w:val="en-US" w:eastAsia="zh-CN"/>
        </w:rPr>
        <w:t>14</w:t>
      </w:r>
      <w:r>
        <w:rPr>
          <w:rFonts w:asciiTheme="minorEastAsia" w:eastAsiaTheme="minorEastAsia" w:hAnsiTheme="minorEastAsia" w:hint="eastAsia"/>
          <w:bCs/>
          <w:color w:val="auto"/>
          <w:sz w:val="24"/>
        </w:rPr>
        <w:t>：</w:t>
      </w:r>
      <w:r>
        <w:rPr>
          <w:rFonts w:asciiTheme="minorEastAsia" w:eastAsiaTheme="minorEastAsia" w:hAnsiTheme="minorEastAsia" w:hint="eastAsia"/>
          <w:bCs/>
          <w:color w:val="auto"/>
          <w:sz w:val="24"/>
          <w:lang w:val="en-US" w:eastAsia="zh-CN"/>
        </w:rPr>
        <w:t>45</w:t>
      </w:r>
      <w:r>
        <w:rPr>
          <w:rFonts w:asciiTheme="minorEastAsia" w:eastAsiaTheme="minorEastAsia" w:hAnsiTheme="minorEastAsia" w:hint="eastAsia"/>
          <w:bCs/>
          <w:color w:val="auto"/>
          <w:sz w:val="24"/>
        </w:rPr>
        <w:t>（北京时间）</w:t>
      </w:r>
      <w:r>
        <w:rPr>
          <w:rFonts w:asciiTheme="minorEastAsia" w:eastAsiaTheme="minorEastAsia" w:hAnsiTheme="minorEastAsia" w:hint="eastAsia"/>
          <w:color w:val="auto"/>
          <w:sz w:val="24"/>
        </w:rPr>
        <w:t>期间登录深圳</w:t>
      </w:r>
      <w:r>
        <w:rPr>
          <w:rFonts w:asciiTheme="minorEastAsia" w:eastAsiaTheme="minorEastAsia" w:hAnsiTheme="minorEastAsia" w:hint="eastAsia"/>
          <w:sz w:val="24"/>
        </w:rPr>
        <w:t>政府采购智慧平台（http://zfcg.szggzy.com:8081/）下载本项目的采购文件。投标人如确定参加投标，首先要在深圳政府采购智慧平台网上办事子系统（http://zfcg.szggzy.com:8081/TPBidder/memberLogin）网上报名投标，方法为在网上办事子系统后点击“【招标公告】→【我要报名】”；如果网上报名后上传了投标文件，又不参加投标，应再到【我的项目】→【项目流程】→【递交投标(应答)文件】功能点中进行“【撤回本次投标】”操作；如果是未注册为深圳政府采购智慧平台（http://zfcg.szggzy.com:8081/）的供应商，请先办理密钥，并前往深圳公共资源交易中心（深圳交易集团有限公司政府采购业务分公司）绑定深圳政府采购智慧平台用户（地址：深圳市福田区景田东路70号雅枫国际酒店北侧二楼市政府采购业务窗口服务大厅；电子密钥办理咨询电话：0755-83948165），再进行投标报名。在网上报名后，点击“【我的项目】→【项目流程】→【采购文件下载】”进行招标文件的下载。</w:t>
      </w:r>
    </w:p>
    <w:p>
      <w:pPr>
        <w:pStyle w:val="Heading2"/>
        <w:adjustRightInd w:val="0"/>
        <w:snapToGrid w:val="0"/>
        <w:spacing w:line="360" w:lineRule="auto"/>
        <w:rPr>
          <w:rFonts w:asciiTheme="minorEastAsia" w:eastAsiaTheme="minorEastAsia" w:hAnsiTheme="minorEastAsia" w:cs="宋体"/>
          <w:b w:val="0"/>
          <w:sz w:val="24"/>
          <w:szCs w:val="24"/>
        </w:rPr>
      </w:pPr>
      <w:bookmarkStart w:id="39" w:name="_Toc4362"/>
      <w:bookmarkStart w:id="40" w:name="_Toc256000004"/>
      <w:r>
        <w:rPr>
          <w:rFonts w:asciiTheme="minorEastAsia" w:eastAsiaTheme="minorEastAsia" w:hAnsiTheme="minorEastAsia" w:cs="宋体" w:hint="eastAsia"/>
          <w:b w:val="0"/>
          <w:sz w:val="24"/>
          <w:szCs w:val="24"/>
        </w:rPr>
        <w:t>四、提交投标文件</w:t>
      </w:r>
      <w:bookmarkEnd w:id="35"/>
      <w:bookmarkEnd w:id="36"/>
      <w:r>
        <w:rPr>
          <w:rFonts w:asciiTheme="minorEastAsia" w:eastAsiaTheme="minorEastAsia" w:hAnsiTheme="minorEastAsia" w:cs="宋体" w:hint="eastAsia"/>
          <w:b w:val="0"/>
          <w:sz w:val="24"/>
          <w:szCs w:val="24"/>
        </w:rPr>
        <w:t>截止时间、开标时间和地点</w:t>
      </w:r>
      <w:bookmarkEnd w:id="40"/>
      <w:bookmarkEnd w:id="37"/>
      <w:bookmarkEnd w:id="38"/>
      <w:bookmarkEnd w:id="39"/>
    </w:p>
    <w:p>
      <w:pPr>
        <w:adjustRightInd w:val="0"/>
        <w:snapToGrid w:val="0"/>
        <w:spacing w:line="360" w:lineRule="auto"/>
        <w:ind w:firstLine="420" w:firstLineChars="200"/>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1.投标截止时间：所有投标文件应于</w:t>
      </w:r>
      <w:r>
        <w:rPr>
          <w:rFonts w:asciiTheme="minorEastAsia" w:eastAsiaTheme="minorEastAsia" w:hAnsiTheme="minorEastAsia" w:hint="eastAsia"/>
          <w:color w:val="auto"/>
          <w:sz w:val="24"/>
          <w:lang w:val="en-US" w:eastAsia="zh-CN"/>
        </w:rPr>
        <w:t>2022</w:t>
      </w:r>
      <w:r>
        <w:rPr>
          <w:rFonts w:asciiTheme="minorEastAsia" w:eastAsiaTheme="minorEastAsia" w:hAnsiTheme="minorEastAsia" w:hint="eastAsia"/>
          <w:bCs/>
          <w:color w:val="auto"/>
          <w:sz w:val="24"/>
        </w:rPr>
        <w:t>年</w:t>
      </w:r>
      <w:r>
        <w:rPr>
          <w:rFonts w:asciiTheme="minorEastAsia" w:eastAsiaTheme="minorEastAsia" w:hAnsiTheme="minorEastAsia" w:hint="eastAsia"/>
          <w:bCs/>
          <w:color w:val="auto"/>
          <w:sz w:val="24"/>
          <w:lang w:val="en-US" w:eastAsia="zh-CN"/>
        </w:rPr>
        <w:t>12</w:t>
      </w:r>
      <w:r>
        <w:rPr>
          <w:rFonts w:asciiTheme="minorEastAsia" w:eastAsiaTheme="minorEastAsia" w:hAnsiTheme="minorEastAsia" w:hint="eastAsia"/>
          <w:bCs/>
          <w:color w:val="auto"/>
          <w:sz w:val="24"/>
        </w:rPr>
        <w:t>月</w:t>
      </w:r>
      <w:r>
        <w:rPr>
          <w:rFonts w:asciiTheme="minorEastAsia" w:eastAsiaTheme="minorEastAsia" w:hAnsiTheme="minorEastAsia" w:hint="eastAsia"/>
          <w:bCs/>
          <w:color w:val="auto"/>
          <w:sz w:val="24"/>
          <w:lang w:val="en-US" w:eastAsia="zh-CN"/>
        </w:rPr>
        <w:t>6</w:t>
      </w:r>
      <w:r>
        <w:rPr>
          <w:rFonts w:asciiTheme="minorEastAsia" w:eastAsiaTheme="minorEastAsia" w:hAnsiTheme="minorEastAsia" w:hint="eastAsia"/>
          <w:bCs/>
          <w:color w:val="auto"/>
          <w:sz w:val="24"/>
        </w:rPr>
        <w:t>日</w:t>
      </w:r>
      <w:r>
        <w:rPr>
          <w:rFonts w:asciiTheme="minorEastAsia" w:eastAsiaTheme="minorEastAsia" w:hAnsiTheme="minorEastAsia" w:hint="eastAsia"/>
          <w:bCs/>
          <w:color w:val="auto"/>
          <w:sz w:val="24"/>
          <w:lang w:val="en-US" w:eastAsia="zh-CN"/>
        </w:rPr>
        <w:t>14</w:t>
      </w:r>
      <w:r>
        <w:rPr>
          <w:rFonts w:asciiTheme="minorEastAsia" w:eastAsiaTheme="minorEastAsia" w:hAnsiTheme="minorEastAsia" w:hint="eastAsia"/>
          <w:bCs/>
          <w:color w:val="auto"/>
          <w:sz w:val="24"/>
        </w:rPr>
        <w:t>：</w:t>
      </w:r>
      <w:r>
        <w:rPr>
          <w:rFonts w:asciiTheme="minorEastAsia" w:eastAsiaTheme="minorEastAsia" w:hAnsiTheme="minorEastAsia" w:hint="eastAsia"/>
          <w:bCs/>
          <w:color w:val="auto"/>
          <w:sz w:val="24"/>
          <w:lang w:val="en-US" w:eastAsia="zh-CN"/>
        </w:rPr>
        <w:t>45</w:t>
      </w:r>
      <w:r>
        <w:rPr>
          <w:rFonts w:asciiTheme="minorEastAsia" w:eastAsiaTheme="minorEastAsia" w:hAnsiTheme="minorEastAsia" w:cs="宋体" w:hint="eastAsia"/>
          <w:kern w:val="0"/>
          <w:sz w:val="24"/>
        </w:rPr>
        <w:t>（北京时间）之前上传到深圳政府采购智慧平台（http://zfcg.szggzy.com:8081/）。具体操作为登录“深圳政府采购智慧平台用户网上办事子系统（http://zfcg.szggzy.com:8081/TPBidder/memberLogin）”，用“【我的项目】→【项目流程】→【递交投标(应答)文件】”功能点上传投标文件。本项目电子投标文件最大容量为100MB，超过此容量的文件将被拒绝。</w:t>
      </w:r>
    </w:p>
    <w:p>
      <w:pPr>
        <w:adjustRightInd w:val="0"/>
        <w:snapToGrid w:val="0"/>
        <w:spacing w:line="360" w:lineRule="auto"/>
        <w:ind w:firstLine="420" w:firstLineChars="200"/>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2.开标时间和地点：定</w:t>
      </w:r>
      <w:r>
        <w:rPr>
          <w:rFonts w:asciiTheme="minorEastAsia" w:eastAsiaTheme="minorEastAsia" w:hAnsiTheme="minorEastAsia" w:cs="宋体" w:hint="eastAsia"/>
          <w:color w:val="auto"/>
          <w:kern w:val="0"/>
          <w:sz w:val="24"/>
        </w:rPr>
        <w:t>于</w:t>
      </w:r>
      <w:r>
        <w:rPr>
          <w:rFonts w:asciiTheme="minorEastAsia" w:eastAsiaTheme="minorEastAsia" w:hAnsiTheme="minorEastAsia" w:hint="eastAsia"/>
          <w:color w:val="auto"/>
          <w:sz w:val="24"/>
          <w:lang w:val="en-US" w:eastAsia="zh-CN"/>
        </w:rPr>
        <w:t>2022</w:t>
      </w:r>
      <w:r>
        <w:rPr>
          <w:rFonts w:asciiTheme="minorEastAsia" w:eastAsiaTheme="minorEastAsia" w:hAnsiTheme="minorEastAsia" w:hint="eastAsia"/>
          <w:bCs/>
          <w:color w:val="auto"/>
          <w:sz w:val="24"/>
        </w:rPr>
        <w:t>年</w:t>
      </w:r>
      <w:r>
        <w:rPr>
          <w:rFonts w:asciiTheme="minorEastAsia" w:eastAsiaTheme="minorEastAsia" w:hAnsiTheme="minorEastAsia" w:hint="eastAsia"/>
          <w:bCs/>
          <w:color w:val="auto"/>
          <w:sz w:val="24"/>
          <w:lang w:val="en-US" w:eastAsia="zh-CN"/>
        </w:rPr>
        <w:t>12</w:t>
      </w:r>
      <w:r>
        <w:rPr>
          <w:rFonts w:asciiTheme="minorEastAsia" w:eastAsiaTheme="minorEastAsia" w:hAnsiTheme="minorEastAsia" w:hint="eastAsia"/>
          <w:bCs/>
          <w:color w:val="auto"/>
          <w:sz w:val="24"/>
        </w:rPr>
        <w:t>月</w:t>
      </w:r>
      <w:r>
        <w:rPr>
          <w:rFonts w:asciiTheme="minorEastAsia" w:eastAsiaTheme="minorEastAsia" w:hAnsiTheme="minorEastAsia" w:hint="eastAsia"/>
          <w:bCs/>
          <w:color w:val="auto"/>
          <w:sz w:val="24"/>
          <w:lang w:val="en-US" w:eastAsia="zh-CN"/>
        </w:rPr>
        <w:t>6</w:t>
      </w:r>
      <w:r>
        <w:rPr>
          <w:rFonts w:asciiTheme="minorEastAsia" w:eastAsiaTheme="minorEastAsia" w:hAnsiTheme="minorEastAsia" w:hint="eastAsia"/>
          <w:bCs/>
          <w:color w:val="auto"/>
          <w:sz w:val="24"/>
        </w:rPr>
        <w:t>日</w:t>
      </w:r>
      <w:r>
        <w:rPr>
          <w:rFonts w:asciiTheme="minorEastAsia" w:eastAsiaTheme="minorEastAsia" w:hAnsiTheme="minorEastAsia" w:hint="eastAsia"/>
          <w:bCs/>
          <w:color w:val="auto"/>
          <w:sz w:val="24"/>
          <w:lang w:val="en-US" w:eastAsia="zh-CN"/>
        </w:rPr>
        <w:t>14</w:t>
      </w:r>
      <w:r>
        <w:rPr>
          <w:rFonts w:asciiTheme="minorEastAsia" w:eastAsiaTheme="minorEastAsia" w:hAnsiTheme="minorEastAsia" w:hint="eastAsia"/>
          <w:bCs/>
          <w:color w:val="auto"/>
          <w:sz w:val="24"/>
        </w:rPr>
        <w:t>：</w:t>
      </w:r>
      <w:r>
        <w:rPr>
          <w:rFonts w:asciiTheme="minorEastAsia" w:eastAsiaTheme="minorEastAsia" w:hAnsiTheme="minorEastAsia" w:hint="eastAsia"/>
          <w:bCs/>
          <w:color w:val="auto"/>
          <w:sz w:val="24"/>
          <w:lang w:val="en-US" w:eastAsia="zh-CN"/>
        </w:rPr>
        <w:t>45</w:t>
      </w:r>
      <w:r>
        <w:rPr>
          <w:rFonts w:asciiTheme="minorEastAsia" w:eastAsiaTheme="minorEastAsia" w:hAnsiTheme="minorEastAsia" w:cs="宋体" w:hint="eastAsia"/>
          <w:color w:val="auto"/>
          <w:kern w:val="0"/>
          <w:sz w:val="24"/>
        </w:rPr>
        <w:t>（北京时间），</w:t>
      </w:r>
      <w:r>
        <w:rPr>
          <w:rFonts w:asciiTheme="minorEastAsia" w:eastAsiaTheme="minorEastAsia" w:hAnsiTheme="minorEastAsia" w:cs="宋体" w:hint="eastAsia"/>
          <w:color w:val="auto"/>
          <w:kern w:val="0"/>
          <w:sz w:val="24"/>
          <w:highlight w:val="none"/>
        </w:rPr>
        <w:t>在深圳市福田区竹子林中国经贸大厦4E采联国际招标采购集团有限公司深圳分公司会议室</w:t>
      </w:r>
      <w:r>
        <w:rPr>
          <w:rFonts w:asciiTheme="minorEastAsia" w:eastAsiaTheme="minorEastAsia" w:hAnsiTheme="minorEastAsia" w:cs="宋体" w:hint="eastAsia"/>
          <w:kern w:val="0"/>
          <w:sz w:val="24"/>
        </w:rPr>
        <w:t>公开开标。供应商可以登录“深圳政府采购智慧平台用户网上办事子系统（http://zfcg.szggzy.com:8081/TPBidder/memberLogin）”，在“【我的项目】→【项目流程】→【开标及解密】”进行在线解密、查询开标情况。</w:t>
      </w:r>
    </w:p>
    <w:p>
      <w:pPr>
        <w:adjustRightInd w:val="0"/>
        <w:snapToGrid w:val="0"/>
        <w:spacing w:line="360" w:lineRule="auto"/>
        <w:ind w:firstLine="420" w:firstLineChars="200"/>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3.在线解密：投标人须在开标当</w:t>
      </w:r>
      <w:r>
        <w:rPr>
          <w:rFonts w:asciiTheme="minorEastAsia" w:eastAsiaTheme="minorEastAsia" w:hAnsiTheme="minorEastAsia" w:cs="宋体" w:hint="eastAsia"/>
          <w:color w:val="auto"/>
          <w:kern w:val="0"/>
          <w:sz w:val="24"/>
        </w:rPr>
        <w:t>日14：45-15:15期间</w:t>
      </w:r>
      <w:r>
        <w:rPr>
          <w:rFonts w:asciiTheme="minorEastAsia" w:eastAsiaTheme="minorEastAsia" w:hAnsiTheme="minorEastAsia" w:cs="宋体" w:hint="eastAsia"/>
          <w:kern w:val="0"/>
          <w:sz w:val="24"/>
        </w:rPr>
        <w:t>进行解密，逾期未解密的作无效处理。解密方法：登录“深圳政府采购智慧平台用户网上办事子系统（http://zfcg.szggzy.com:8081/TPBidder/memberLogin）”，使用本单位制作电子投标文件同一个电子密钥，在“【我的项目】→【项目流程】→【开标及解密】”进行在线解密、查询开标情况。</w:t>
      </w:r>
    </w:p>
    <w:p>
      <w:pPr>
        <w:pStyle w:val="Heading2"/>
        <w:adjustRightInd w:val="0"/>
        <w:snapToGrid w:val="0"/>
        <w:spacing w:line="360" w:lineRule="auto"/>
        <w:rPr>
          <w:rFonts w:asciiTheme="minorEastAsia" w:eastAsiaTheme="minorEastAsia" w:hAnsiTheme="minorEastAsia" w:cs="宋体"/>
          <w:b w:val="0"/>
          <w:bCs w:val="0"/>
          <w:sz w:val="24"/>
          <w:szCs w:val="24"/>
        </w:rPr>
      </w:pPr>
      <w:bookmarkStart w:id="41" w:name="_Toc21242"/>
      <w:bookmarkStart w:id="42" w:name="_Toc28359084"/>
      <w:bookmarkStart w:id="43" w:name="_Toc35393794"/>
      <w:bookmarkStart w:id="44" w:name="_Toc35393625"/>
      <w:bookmarkStart w:id="45" w:name="_Toc28359007"/>
      <w:bookmarkStart w:id="46" w:name="_Toc256000005"/>
      <w:r>
        <w:rPr>
          <w:rFonts w:asciiTheme="minorEastAsia" w:eastAsiaTheme="minorEastAsia" w:hAnsiTheme="minorEastAsia" w:cs="宋体" w:hint="eastAsia"/>
          <w:b w:val="0"/>
          <w:bCs w:val="0"/>
          <w:sz w:val="24"/>
          <w:szCs w:val="24"/>
        </w:rPr>
        <w:t>五、公告期限</w:t>
      </w:r>
      <w:bookmarkEnd w:id="46"/>
      <w:bookmarkEnd w:id="41"/>
      <w:bookmarkEnd w:id="42"/>
      <w:bookmarkEnd w:id="43"/>
      <w:bookmarkEnd w:id="44"/>
      <w:bookmarkEnd w:id="45"/>
    </w:p>
    <w:p>
      <w:pPr>
        <w:adjustRightInd w:val="0"/>
        <w:snapToGrid w:val="0"/>
        <w:spacing w:line="360" w:lineRule="auto"/>
        <w:ind w:firstLine="420" w:firstLineChars="200"/>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自本公告发布之日起5个工作日。</w:t>
      </w:r>
    </w:p>
    <w:p>
      <w:pPr>
        <w:pStyle w:val="Heading2"/>
        <w:adjustRightInd w:val="0"/>
        <w:snapToGrid w:val="0"/>
        <w:spacing w:line="360" w:lineRule="auto"/>
        <w:rPr>
          <w:rFonts w:asciiTheme="minorEastAsia" w:eastAsiaTheme="minorEastAsia" w:hAnsiTheme="minorEastAsia" w:cs="宋体"/>
          <w:b w:val="0"/>
          <w:sz w:val="24"/>
          <w:szCs w:val="24"/>
        </w:rPr>
      </w:pPr>
      <w:bookmarkStart w:id="47" w:name="_Toc35393795"/>
      <w:bookmarkStart w:id="48" w:name="_Toc35393626"/>
      <w:bookmarkStart w:id="49" w:name="_Toc30897"/>
      <w:bookmarkStart w:id="50" w:name="_Toc256000006"/>
      <w:r>
        <w:rPr>
          <w:rFonts w:asciiTheme="minorEastAsia" w:eastAsiaTheme="minorEastAsia" w:hAnsiTheme="minorEastAsia" w:cs="宋体" w:hint="eastAsia"/>
          <w:b w:val="0"/>
          <w:sz w:val="24"/>
          <w:szCs w:val="24"/>
        </w:rPr>
        <w:t>六、其他补充事宜</w:t>
      </w:r>
      <w:bookmarkEnd w:id="50"/>
      <w:bookmarkEnd w:id="47"/>
      <w:bookmarkEnd w:id="48"/>
      <w:bookmarkEnd w:id="49"/>
    </w:p>
    <w:p>
      <w:pPr>
        <w:adjustRightInd w:val="0"/>
        <w:snapToGrid w:val="0"/>
        <w:spacing w:line="360" w:lineRule="auto"/>
        <w:rPr>
          <w:rFonts w:asciiTheme="minorEastAsia" w:eastAsiaTheme="minorEastAsia" w:hAnsiTheme="minorEastAsia" w:cs="宋体"/>
          <w:sz w:val="24"/>
        </w:rPr>
      </w:pPr>
      <w:r>
        <w:rPr>
          <w:rFonts w:asciiTheme="minorEastAsia" w:eastAsiaTheme="minorEastAsia" w:hAnsiTheme="minorEastAsia" w:cs="宋体" w:hint="eastAsia"/>
          <w:sz w:val="24"/>
        </w:rPr>
        <w:t xml:space="preserve">    1.</w:t>
      </w:r>
      <w:r>
        <w:rPr>
          <w:rFonts w:asciiTheme="minorEastAsia" w:eastAsiaTheme="minorEastAsia" w:hAnsiTheme="minorEastAsia" w:cs="宋体"/>
          <w:sz w:val="24"/>
        </w:rPr>
        <w:t>本项目实行网上投标，采用电子投标文件。</w:t>
      </w:r>
    </w:p>
    <w:p>
      <w:pPr>
        <w:adjustRightInd w:val="0"/>
        <w:snapToGrid w:val="0"/>
        <w:spacing w:line="360" w:lineRule="auto"/>
        <w:ind w:firstLine="420" w:firstLineChars="200"/>
        <w:rPr>
          <w:rFonts w:asciiTheme="minorEastAsia" w:eastAsiaTheme="minorEastAsia" w:hAnsiTheme="minorEastAsia" w:cs="宋体"/>
          <w:sz w:val="24"/>
        </w:rPr>
      </w:pPr>
      <w:r>
        <w:rPr>
          <w:rFonts w:asciiTheme="minorEastAsia" w:eastAsiaTheme="minorEastAsia" w:hAnsiTheme="minorEastAsia" w:cs="宋体" w:hint="eastAsia"/>
          <w:sz w:val="24"/>
        </w:rPr>
        <w:t>2.采购文件澄清/修改事项：</w:t>
      </w:r>
      <w:r>
        <w:rPr>
          <w:rFonts w:asciiTheme="minorEastAsia" w:eastAsiaTheme="minorEastAsia" w:hAnsiTheme="minorEastAsia" w:cs="宋体" w:hint="eastAsia"/>
          <w:color w:val="auto"/>
          <w:sz w:val="24"/>
        </w:rPr>
        <w:t>2022年</w:t>
      </w:r>
      <w:r>
        <w:rPr>
          <w:rFonts w:asciiTheme="minorEastAsia" w:eastAsiaTheme="minorEastAsia" w:hAnsiTheme="minorEastAsia" w:cs="宋体" w:hint="eastAsia"/>
          <w:color w:val="auto"/>
          <w:sz w:val="24"/>
          <w:lang w:val="en-US" w:eastAsia="zh-CN"/>
        </w:rPr>
        <w:t>11</w:t>
      </w:r>
      <w:r>
        <w:rPr>
          <w:rFonts w:asciiTheme="minorEastAsia" w:eastAsiaTheme="minorEastAsia" w:hAnsiTheme="minorEastAsia" w:cs="宋体" w:hint="eastAsia"/>
          <w:color w:val="auto"/>
          <w:sz w:val="24"/>
        </w:rPr>
        <w:t>月</w:t>
      </w:r>
      <w:r>
        <w:rPr>
          <w:rFonts w:asciiTheme="minorEastAsia" w:eastAsiaTheme="minorEastAsia" w:hAnsiTheme="minorEastAsia" w:cs="宋体" w:hint="eastAsia"/>
          <w:color w:val="auto"/>
          <w:sz w:val="24"/>
          <w:lang w:val="en-US" w:eastAsia="zh-CN"/>
        </w:rPr>
        <w:t>30</w:t>
      </w:r>
      <w:r>
        <w:rPr>
          <w:rFonts w:asciiTheme="minorEastAsia" w:eastAsiaTheme="minorEastAsia" w:hAnsiTheme="minorEastAsia" w:cs="宋体" w:hint="eastAsia"/>
          <w:color w:val="auto"/>
          <w:sz w:val="24"/>
        </w:rPr>
        <w:t>日18:00</w:t>
      </w:r>
      <w:r>
        <w:rPr>
          <w:rFonts w:asciiTheme="minorEastAsia" w:eastAsiaTheme="minorEastAsia" w:hAnsiTheme="minorEastAsia" w:cs="宋体" w:hint="eastAsia"/>
          <w:sz w:val="24"/>
        </w:rPr>
        <w:t>（北京时间）前，投标人如果认为采购文件存在不明确、不清晰和前后不一致等问题，可登录</w:t>
      </w:r>
      <w:r>
        <w:rPr>
          <w:rFonts w:asciiTheme="minorEastAsia" w:eastAsiaTheme="minorEastAsia" w:hAnsiTheme="minorEastAsia" w:hint="eastAsia"/>
          <w:sz w:val="24"/>
        </w:rPr>
        <w:t>深圳政府采购智慧平台（http://zfcg.szggzy.com:8081/）</w:t>
      </w:r>
      <w:r>
        <w:rPr>
          <w:rFonts w:asciiTheme="minorEastAsia" w:eastAsiaTheme="minorEastAsia" w:hAnsiTheme="minorEastAsia" w:cs="宋体" w:hint="eastAsia"/>
          <w:sz w:val="24"/>
        </w:rPr>
        <w:t>→“深圳政府采购智慧平台用户网上办事子系统（http://zfcg.szggzy.com:8081/TPBidder/memberLogin）”，在“【我的项目】→【项目流程】→【提问】”功能点中填写需澄清内容。</w:t>
      </w:r>
      <w:r>
        <w:rPr>
          <w:rFonts w:asciiTheme="minorEastAsia" w:eastAsiaTheme="minorEastAsia" w:hAnsiTheme="minorEastAsia" w:cs="宋体" w:hint="eastAsia"/>
          <w:color w:val="auto"/>
          <w:sz w:val="24"/>
        </w:rPr>
        <w:t>2022年</w:t>
      </w:r>
      <w:r>
        <w:rPr>
          <w:rFonts w:asciiTheme="minorEastAsia" w:eastAsiaTheme="minorEastAsia" w:hAnsiTheme="minorEastAsia" w:cs="宋体" w:hint="eastAsia"/>
          <w:color w:val="auto"/>
          <w:sz w:val="24"/>
          <w:lang w:val="en-US" w:eastAsia="zh-CN"/>
        </w:rPr>
        <w:t>12</w:t>
      </w:r>
      <w:r>
        <w:rPr>
          <w:rFonts w:asciiTheme="minorEastAsia" w:eastAsiaTheme="minorEastAsia" w:hAnsiTheme="minorEastAsia" w:cs="宋体" w:hint="eastAsia"/>
          <w:color w:val="auto"/>
          <w:sz w:val="24"/>
        </w:rPr>
        <w:t>月</w:t>
      </w:r>
      <w:r>
        <w:rPr>
          <w:rFonts w:asciiTheme="minorEastAsia" w:eastAsiaTheme="minorEastAsia" w:hAnsiTheme="minorEastAsia" w:cs="宋体" w:hint="eastAsia"/>
          <w:color w:val="auto"/>
          <w:sz w:val="24"/>
          <w:lang w:val="en-US" w:eastAsia="zh-CN"/>
        </w:rPr>
        <w:t>2</w:t>
      </w:r>
      <w:r>
        <w:rPr>
          <w:rFonts w:asciiTheme="minorEastAsia" w:eastAsiaTheme="minorEastAsia" w:hAnsiTheme="minorEastAsia" w:cs="宋体" w:hint="eastAsia"/>
          <w:color w:val="auto"/>
          <w:sz w:val="24"/>
        </w:rPr>
        <w:t>日18:00</w:t>
      </w:r>
      <w:r>
        <w:rPr>
          <w:rFonts w:asciiTheme="minorEastAsia" w:eastAsiaTheme="minorEastAsia" w:hAnsiTheme="minorEastAsia" w:cs="宋体" w:hint="eastAsia"/>
          <w:sz w:val="24"/>
        </w:rPr>
        <w:t>（北京时间）前将采购文件澄清/修改情况在“【我的项目】→【项目流程】→【答疑澄清文件下载】”中公布，望投标人予以关注。</w:t>
      </w:r>
    </w:p>
    <w:p>
      <w:pPr>
        <w:adjustRightInd w:val="0"/>
        <w:snapToGrid w:val="0"/>
        <w:spacing w:line="360" w:lineRule="auto"/>
        <w:ind w:firstLine="496" w:firstLineChars="236"/>
        <w:rPr>
          <w:rFonts w:asciiTheme="minorEastAsia" w:eastAsiaTheme="minorEastAsia" w:hAnsiTheme="minorEastAsia" w:cs="宋体"/>
          <w:sz w:val="24"/>
        </w:rPr>
      </w:pPr>
      <w:r>
        <w:rPr>
          <w:rFonts w:asciiTheme="minorEastAsia" w:eastAsiaTheme="minorEastAsia" w:hAnsiTheme="minorEastAsia" w:cs="宋体" w:hint="eastAsia"/>
          <w:sz w:val="24"/>
        </w:rPr>
        <w:t>（重要提示：“提出采购文件澄清要求”不等同于“对采购文件质疑”，供应商提出的澄清要求内容如出现“质疑”字眼，将予以退回。供应商如认为采购文件存在限制性、倾向性、其权益受到损害，应在采购文件公布之日起七个工作日内以书面形式提出质疑。根据《深圳经济特区政府采购条例》第四十二条“供应商投诉的事项应当是经过质疑的事项”的规定，未经正式质疑的，将影响供应商行使向财政部门提起投诉的权利。）</w:t>
      </w:r>
    </w:p>
    <w:p>
      <w:pPr>
        <w:adjustRightInd w:val="0"/>
        <w:snapToGrid w:val="0"/>
        <w:spacing w:line="360" w:lineRule="auto"/>
        <w:rPr>
          <w:rFonts w:asciiTheme="minorEastAsia" w:eastAsiaTheme="minorEastAsia" w:hAnsiTheme="minorEastAsia" w:cs="宋体"/>
          <w:sz w:val="24"/>
        </w:rPr>
      </w:pPr>
      <w:r>
        <w:rPr>
          <w:rFonts w:asciiTheme="minorEastAsia" w:eastAsiaTheme="minorEastAsia" w:hAnsiTheme="minorEastAsia" w:cs="宋体" w:hint="eastAsia"/>
          <w:sz w:val="24"/>
        </w:rPr>
        <w:t xml:space="preserve">    3.采购人及采购代理机构</w:t>
      </w:r>
      <w:r>
        <w:rPr>
          <w:rFonts w:asciiTheme="minorEastAsia" w:eastAsiaTheme="minorEastAsia" w:hAnsiTheme="minorEastAsia" w:cs="宋体"/>
          <w:sz w:val="24"/>
        </w:rPr>
        <w:t>有权对中标</w:t>
      </w:r>
      <w:r>
        <w:rPr>
          <w:rFonts w:asciiTheme="minorEastAsia" w:eastAsiaTheme="minorEastAsia" w:hAnsiTheme="minorEastAsia" w:cs="宋体" w:hint="eastAsia"/>
          <w:sz w:val="24"/>
        </w:rPr>
        <w:t>人</w:t>
      </w:r>
      <w:r>
        <w:rPr>
          <w:rFonts w:asciiTheme="minorEastAsia" w:eastAsiaTheme="minorEastAsia" w:hAnsiTheme="minorEastAsia" w:cs="宋体"/>
          <w:sz w:val="24"/>
        </w:rPr>
        <w:t xml:space="preserve">就本项目要求提供的相关证明资料（原件）进行审查。供应商提供虚假资料被查实的，则可能面临被取消本项目中标资格、列入不良行为记录名单和三年内禁止参与深圳市政府采购活动的风险。 </w:t>
      </w:r>
    </w:p>
    <w:p>
      <w:pPr>
        <w:adjustRightInd w:val="0"/>
        <w:snapToGrid w:val="0"/>
        <w:spacing w:line="360" w:lineRule="auto"/>
        <w:ind w:firstLine="480"/>
        <w:rPr>
          <w:rFonts w:asciiTheme="minorEastAsia" w:eastAsiaTheme="minorEastAsia" w:hAnsiTheme="minorEastAsia" w:cs="宋体"/>
          <w:sz w:val="24"/>
        </w:rPr>
      </w:pPr>
      <w:r>
        <w:rPr>
          <w:rFonts w:asciiTheme="minorEastAsia" w:eastAsiaTheme="minorEastAsia" w:hAnsiTheme="minorEastAsia" w:cs="宋体" w:hint="eastAsia"/>
          <w:sz w:val="24"/>
        </w:rPr>
        <w:t>4.本招标公告及本项目招标文件所涉及的时间一律为北京时间。投标人有义务在招标活动期间浏览</w:t>
      </w:r>
      <w:r>
        <w:rPr>
          <w:rFonts w:asciiTheme="minorEastAsia" w:eastAsiaTheme="minorEastAsia" w:hAnsiTheme="minorEastAsia" w:hint="eastAsia"/>
          <w:sz w:val="24"/>
        </w:rPr>
        <w:t>深圳政府采购智慧平台（http://zfcg.szggzy.com:8081/）</w:t>
      </w:r>
      <w:r>
        <w:rPr>
          <w:rFonts w:asciiTheme="minorEastAsia" w:eastAsiaTheme="minorEastAsia" w:hAnsiTheme="minorEastAsia" w:cs="宋体" w:hint="eastAsia"/>
          <w:sz w:val="24"/>
        </w:rPr>
        <w:t>，在</w:t>
      </w:r>
      <w:r>
        <w:rPr>
          <w:rFonts w:asciiTheme="minorEastAsia" w:eastAsiaTheme="minorEastAsia" w:hAnsiTheme="minorEastAsia" w:hint="eastAsia"/>
          <w:sz w:val="24"/>
        </w:rPr>
        <w:t>深圳政府采购智慧平台</w:t>
      </w:r>
      <w:r>
        <w:rPr>
          <w:rFonts w:asciiTheme="minorEastAsia" w:eastAsiaTheme="minorEastAsia" w:hAnsiTheme="minorEastAsia" w:cs="宋体" w:hint="eastAsia"/>
          <w:sz w:val="24"/>
        </w:rPr>
        <w:t>网上公布的与本次招标项目有关的信息视为已送达各投标人。</w:t>
      </w:r>
    </w:p>
    <w:p>
      <w:pPr>
        <w:pStyle w:val="ListParagraph"/>
        <w:tabs>
          <w:tab w:val="left" w:pos="420"/>
          <w:tab w:val="left" w:pos="1680"/>
        </w:tabs>
        <w:adjustRightInd w:val="0"/>
        <w:snapToGrid w:val="0"/>
        <w:spacing w:line="360" w:lineRule="auto"/>
        <w:ind w:firstLine="496" w:firstLineChars="236"/>
        <w:rPr>
          <w:rFonts w:ascii="宋体" w:hAnsi="宋体"/>
          <w:bCs/>
          <w:sz w:val="24"/>
        </w:rPr>
      </w:pPr>
      <w:r>
        <w:rPr>
          <w:rFonts w:asciiTheme="minorEastAsia" w:eastAsiaTheme="minorEastAsia" w:hAnsiTheme="minorEastAsia" w:cs="宋体" w:hint="eastAsia"/>
          <w:sz w:val="24"/>
        </w:rPr>
        <w:t>5.</w:t>
      </w:r>
      <w:r>
        <w:rPr>
          <w:rFonts w:ascii="宋体" w:hAnsi="宋体" w:hint="eastAsia"/>
          <w:bCs/>
          <w:sz w:val="24"/>
        </w:rPr>
        <w:t>本项目相关公告在以下媒体发布</w:t>
      </w:r>
    </w:p>
    <w:p>
      <w:pPr>
        <w:snapToGrid w:val="0"/>
        <w:spacing w:line="360" w:lineRule="auto"/>
        <w:ind w:firstLine="420" w:firstLineChars="200"/>
        <w:rPr>
          <w:rFonts w:ascii="宋体" w:hAnsi="宋体"/>
          <w:color w:val="000000" w:themeColor="text1"/>
          <w:sz w:val="24"/>
          <w14:textFill>
            <w14:solidFill>
              <w14:schemeClr w14:val="tx1"/>
            </w14:solidFill>
          </w14:textFill>
        </w:rPr>
      </w:pPr>
      <w:r>
        <w:rPr>
          <w:rFonts w:ascii="宋体" w:hAnsi="宋体" w:hint="eastAsia"/>
          <w:color w:val="000000" w:themeColor="text1"/>
          <w:sz w:val="24"/>
          <w14:textFill>
            <w14:solidFill>
              <w14:schemeClr w14:val="tx1"/>
            </w14:solidFill>
          </w14:textFill>
        </w:rPr>
        <w:t>（1）法定媒体：中国政府采购网（www.ccgp.gov.cn）、深圳政府采购智慧平台（http://zfcg.szggzy.com:8081/）。相关公告在法定媒体上公布之日即视为有效送达，不再另行通知。</w:t>
      </w:r>
    </w:p>
    <w:p>
      <w:pPr>
        <w:snapToGrid w:val="0"/>
        <w:spacing w:line="360" w:lineRule="auto"/>
        <w:ind w:left="567"/>
        <w:rPr>
          <w:rFonts w:ascii="宋体" w:hAnsi="宋体"/>
          <w:color w:val="000000" w:themeColor="text1"/>
          <w:sz w:val="24"/>
          <w14:textFill>
            <w14:solidFill>
              <w14:schemeClr w14:val="tx1"/>
            </w14:solidFill>
          </w14:textFill>
        </w:rPr>
      </w:pPr>
      <w:r>
        <w:rPr>
          <w:rFonts w:ascii="宋体" w:hAnsi="宋体" w:hint="eastAsia"/>
          <w:color w:val="000000" w:themeColor="text1"/>
          <w:sz w:val="24"/>
          <w14:textFill>
            <w14:solidFill>
              <w14:schemeClr w14:val="tx1"/>
            </w14:solidFill>
          </w14:textFill>
        </w:rPr>
        <w:t>（2）采购代理机构网站（www.chinapsp.cn）。</w:t>
      </w:r>
    </w:p>
    <w:p>
      <w:pPr>
        <w:wordWrap w:val="0"/>
        <w:snapToGrid w:val="0"/>
        <w:spacing w:line="360" w:lineRule="auto"/>
        <w:ind w:left="567"/>
        <w:rPr>
          <w:rFonts w:ascii="宋体" w:hAnsi="宋体"/>
          <w:color w:val="000000" w:themeColor="text1"/>
          <w:sz w:val="24"/>
          <w14:textFill>
            <w14:solidFill>
              <w14:schemeClr w14:val="tx1"/>
            </w14:solidFill>
          </w14:textFill>
        </w:rPr>
      </w:pPr>
      <w:r>
        <w:rPr>
          <w:rFonts w:ascii="宋体" w:hAnsi="宋体" w:hint="eastAsia"/>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3</w:t>
      </w:r>
      <w:r>
        <w:rPr>
          <w:rFonts w:ascii="宋体" w:hAnsi="宋体" w:hint="eastAsia"/>
          <w:color w:val="000000" w:themeColor="text1"/>
          <w:sz w:val="24"/>
          <w14:textFill>
            <w14:solidFill>
              <w14:schemeClr w14:val="tx1"/>
            </w14:solidFill>
          </w14:textFill>
        </w:rPr>
        <w:t>）以上媒体公告内容不一致的，以深圳政府采购智慧平台（http://zfcg.szggzy.com:8081/）的公告内容为准。</w:t>
      </w:r>
    </w:p>
    <w:p>
      <w:pPr>
        <w:adjustRightInd w:val="0"/>
        <w:snapToGrid w:val="0"/>
        <w:spacing w:line="360" w:lineRule="auto"/>
        <w:ind w:firstLine="480"/>
        <w:rPr>
          <w:rFonts w:asciiTheme="minorEastAsia" w:eastAsiaTheme="minorEastAsia" w:hAnsiTheme="minorEastAsia" w:cs="宋体"/>
          <w:sz w:val="24"/>
        </w:rPr>
      </w:pPr>
      <w:r>
        <w:rPr>
          <w:rFonts w:asciiTheme="minorEastAsia" w:eastAsiaTheme="minorEastAsia" w:hAnsiTheme="minorEastAsia" w:cs="宋体" w:hint="eastAsia"/>
          <w:sz w:val="24"/>
        </w:rPr>
        <w:t>6.本项目不需要投标保证金。</w:t>
      </w:r>
      <w:bookmarkStart w:id="51" w:name="_Toc35393796"/>
      <w:bookmarkStart w:id="52" w:name="_Toc28359008"/>
      <w:bookmarkStart w:id="53" w:name="_Toc35393627"/>
      <w:bookmarkStart w:id="54" w:name="_Toc28359085"/>
    </w:p>
    <w:p>
      <w:pPr>
        <w:adjustRightInd w:val="0"/>
        <w:snapToGrid w:val="0"/>
        <w:spacing w:line="360" w:lineRule="auto"/>
        <w:ind w:firstLine="480"/>
        <w:rPr>
          <w:rFonts w:asciiTheme="minorEastAsia" w:eastAsiaTheme="minorEastAsia" w:hAnsiTheme="minorEastAsia" w:cs="宋体"/>
          <w:sz w:val="24"/>
        </w:rPr>
      </w:pPr>
      <w:r>
        <w:rPr>
          <w:rFonts w:asciiTheme="minorEastAsia" w:eastAsiaTheme="minorEastAsia" w:hAnsiTheme="minorEastAsia" w:cs="宋体" w:hint="eastAsia"/>
          <w:sz w:val="24"/>
        </w:rPr>
        <w:t>7</w:t>
      </w:r>
      <w:r>
        <w:rPr>
          <w:rFonts w:asciiTheme="minorEastAsia" w:eastAsiaTheme="minorEastAsia" w:hAnsiTheme="minorEastAsia" w:cs="宋体"/>
          <w:sz w:val="24"/>
        </w:rPr>
        <w:t>.</w:t>
      </w:r>
      <w:bookmarkStart w:id="55" w:name="_Hlk41992292"/>
      <w:r>
        <w:rPr>
          <w:rFonts w:asciiTheme="minorEastAsia" w:eastAsiaTheme="minorEastAsia" w:hAnsiTheme="minorEastAsia" w:cs="宋体" w:hint="eastAsia"/>
          <w:sz w:val="24"/>
        </w:rPr>
        <w:t>需要落实的政府采购政策：</w:t>
      </w:r>
      <w:r>
        <w:rPr>
          <w:rFonts w:ascii="宋体" w:hAnsi="宋体" w:hint="eastAsia"/>
          <w:bCs/>
          <w:sz w:val="24"/>
        </w:rPr>
        <w:t>《政府采购促进中小企业发展管理办法》（财库〔2020〕46号）</w:t>
      </w:r>
      <w:r>
        <w:rPr>
          <w:rFonts w:asciiTheme="minorEastAsia" w:eastAsiaTheme="minorEastAsia" w:hAnsiTheme="minorEastAsia" w:cs="宋体" w:hint="eastAsia"/>
          <w:sz w:val="24"/>
        </w:rPr>
        <w:t>、《关于政府采购支持监狱企业发展有关问题的通知》(财库〔2014〕68号)、《关于促进残疾人就业政府采购政策的通知》（财库〔2017〕141号)、《关于环境标志产品政府采购实施的意见》（财库〔2006〕90号）、《节能产品政府采购实施意见》的通知（财库〔2004〕185号）</w:t>
      </w:r>
      <w:r>
        <w:rPr>
          <w:rFonts w:asciiTheme="minorEastAsia" w:eastAsiaTheme="minorEastAsia" w:hAnsiTheme="minorEastAsia" w:cs="宋体"/>
          <w:sz w:val="24"/>
        </w:rPr>
        <w:t>、《关于调整优化节能产品、环境标志产品政府采购执行机制的通知》（财库〔2019〕9号）、</w:t>
      </w:r>
      <w:bookmarkEnd w:id="55"/>
      <w:r>
        <w:rPr>
          <w:rFonts w:asciiTheme="minorEastAsia" w:eastAsiaTheme="minorEastAsia" w:hAnsiTheme="minorEastAsia" w:cs="宋体" w:hint="eastAsia"/>
          <w:sz w:val="24"/>
        </w:rPr>
        <w:t>《快递包装政府采购需求标准（试行）》（财办库〔2020〕123号）</w:t>
      </w:r>
      <w:r>
        <w:rPr>
          <w:rFonts w:asciiTheme="minorEastAsia" w:eastAsiaTheme="minorEastAsia" w:hAnsiTheme="minorEastAsia" w:cs="宋体"/>
          <w:sz w:val="24"/>
        </w:rPr>
        <w:t>等</w:t>
      </w:r>
      <w:r>
        <w:rPr>
          <w:rFonts w:asciiTheme="minorEastAsia" w:eastAsiaTheme="minorEastAsia" w:hAnsiTheme="minorEastAsia" w:cs="宋体" w:hint="eastAsia"/>
          <w:sz w:val="24"/>
        </w:rPr>
        <w:t>。</w:t>
      </w:r>
    </w:p>
    <w:p>
      <w:pPr>
        <w:pStyle w:val="Heading2"/>
        <w:adjustRightInd w:val="0"/>
        <w:snapToGrid w:val="0"/>
        <w:spacing w:line="360" w:lineRule="auto"/>
        <w:rPr>
          <w:rFonts w:asciiTheme="minorEastAsia" w:eastAsiaTheme="minorEastAsia" w:hAnsiTheme="minorEastAsia" w:cs="宋体"/>
          <w:b w:val="0"/>
          <w:sz w:val="24"/>
          <w:szCs w:val="24"/>
        </w:rPr>
      </w:pPr>
      <w:bookmarkStart w:id="56" w:name="_Toc7081"/>
      <w:bookmarkStart w:id="57" w:name="_Toc256000007"/>
      <w:r>
        <w:rPr>
          <w:rFonts w:asciiTheme="minorEastAsia" w:eastAsiaTheme="minorEastAsia" w:hAnsiTheme="minorEastAsia" w:cs="宋体" w:hint="eastAsia"/>
          <w:b w:val="0"/>
          <w:sz w:val="24"/>
          <w:szCs w:val="24"/>
        </w:rPr>
        <w:t>七、对本次采购提出询问，请按</w:t>
      </w:r>
      <w:r>
        <w:rPr>
          <w:rFonts w:asciiTheme="minorEastAsia" w:eastAsiaTheme="minorEastAsia" w:hAnsiTheme="minorEastAsia" w:cs="宋体"/>
          <w:b w:val="0"/>
          <w:sz w:val="24"/>
          <w:szCs w:val="24"/>
        </w:rPr>
        <w:t>以下方式</w:t>
      </w:r>
      <w:r>
        <w:rPr>
          <w:rFonts w:asciiTheme="minorEastAsia" w:eastAsiaTheme="minorEastAsia" w:hAnsiTheme="minorEastAsia" w:cs="宋体" w:hint="eastAsia"/>
          <w:b w:val="0"/>
          <w:sz w:val="24"/>
          <w:szCs w:val="24"/>
        </w:rPr>
        <w:t>联系。</w:t>
      </w:r>
      <w:bookmarkEnd w:id="57"/>
      <w:bookmarkEnd w:id="51"/>
      <w:bookmarkEnd w:id="52"/>
      <w:bookmarkEnd w:id="53"/>
      <w:bookmarkEnd w:id="54"/>
      <w:bookmarkEnd w:id="56"/>
    </w:p>
    <w:p>
      <w:pPr>
        <w:widowControl/>
        <w:adjustRightInd w:val="0"/>
        <w:snapToGrid w:val="0"/>
        <w:spacing w:line="360" w:lineRule="auto"/>
        <w:jc w:val="left"/>
        <w:rPr>
          <w:rFonts w:asciiTheme="minorEastAsia" w:eastAsiaTheme="minorEastAsia" w:hAnsiTheme="minorEastAsia"/>
          <w:sz w:val="24"/>
        </w:rPr>
      </w:pPr>
      <w:r>
        <w:rPr>
          <w:rFonts w:asciiTheme="minorEastAsia" w:eastAsiaTheme="minorEastAsia" w:hAnsiTheme="minorEastAsia" w:cs="宋体" w:hint="eastAsia"/>
          <w:sz w:val="24"/>
        </w:rPr>
        <w:t>　　　 1.采购人信息</w:t>
      </w:r>
    </w:p>
    <w:p>
      <w:pPr>
        <w:adjustRightInd w:val="0"/>
        <w:snapToGrid w:val="0"/>
        <w:spacing w:line="360" w:lineRule="auto"/>
        <w:ind w:left="1041" w:hanging="262" w:leftChars="371" w:hangingChars="125"/>
        <w:jc w:val="left"/>
        <w:rPr>
          <w:rFonts w:asciiTheme="minorEastAsia" w:eastAsiaTheme="minorEastAsia" w:hAnsiTheme="minorEastAsia" w:hint="eastAsia"/>
          <w:color w:val="auto"/>
          <w:sz w:val="24"/>
          <w:lang w:eastAsia="zh-CN"/>
        </w:rPr>
      </w:pPr>
      <w:r>
        <w:rPr>
          <w:rFonts w:asciiTheme="minorEastAsia" w:eastAsiaTheme="minorEastAsia" w:hAnsiTheme="minorEastAsia" w:hint="eastAsia"/>
          <w:color w:val="auto"/>
          <w:sz w:val="24"/>
        </w:rPr>
        <w:t>名 称：</w:t>
      </w:r>
      <w:r>
        <w:rPr>
          <w:rFonts w:asciiTheme="minorEastAsia" w:eastAsiaTheme="minorEastAsia" w:hAnsiTheme="minorEastAsia" w:cs="宋体" w:hint="eastAsia"/>
          <w:bCs/>
          <w:color w:val="auto"/>
          <w:kern w:val="0"/>
          <w:sz w:val="24"/>
          <w:lang w:eastAsia="zh-CN"/>
        </w:rPr>
        <w:t>深圳市生态环境局</w:t>
      </w:r>
    </w:p>
    <w:p>
      <w:pPr>
        <w:adjustRightInd w:val="0"/>
        <w:snapToGrid w:val="0"/>
        <w:spacing w:line="360" w:lineRule="auto"/>
        <w:ind w:left="1041" w:hanging="262" w:leftChars="371" w:hangingChars="125"/>
        <w:jc w:val="left"/>
        <w:rPr>
          <w:rFonts w:asciiTheme="minorEastAsia" w:eastAsiaTheme="minorEastAsia" w:hAnsiTheme="minorEastAsia" w:hint="eastAsia"/>
          <w:color w:val="auto"/>
          <w:sz w:val="24"/>
        </w:rPr>
      </w:pPr>
      <w:r>
        <w:rPr>
          <w:rFonts w:asciiTheme="minorEastAsia" w:eastAsiaTheme="minorEastAsia" w:hAnsiTheme="minorEastAsia" w:hint="eastAsia"/>
          <w:color w:val="auto"/>
          <w:sz w:val="24"/>
        </w:rPr>
        <w:t>地 址：深圳市福田区土地资源交易大厦</w:t>
      </w:r>
    </w:p>
    <w:p>
      <w:pPr>
        <w:adjustRightInd w:val="0"/>
        <w:snapToGrid w:val="0"/>
        <w:spacing w:line="360" w:lineRule="auto"/>
        <w:ind w:left="1041" w:hanging="262" w:leftChars="371" w:hangingChars="125"/>
        <w:jc w:val="left"/>
        <w:rPr>
          <w:rFonts w:asciiTheme="minorEastAsia" w:eastAsiaTheme="minorEastAsia" w:hAnsiTheme="minorEastAsia" w:hint="default"/>
          <w:color w:val="auto"/>
          <w:sz w:val="24"/>
          <w:lang w:val="en-US" w:eastAsia="zh-CN"/>
        </w:rPr>
      </w:pPr>
      <w:r>
        <w:rPr>
          <w:rFonts w:asciiTheme="minorEastAsia" w:eastAsiaTheme="minorEastAsia" w:hAnsiTheme="minorEastAsia" w:hint="eastAsia"/>
          <w:color w:val="auto"/>
          <w:sz w:val="24"/>
        </w:rPr>
        <w:t>联系方式：</w:t>
      </w:r>
      <w:bookmarkStart w:id="58" w:name="_Toc28359009"/>
      <w:bookmarkStart w:id="59" w:name="_Toc28359086"/>
      <w:r>
        <w:rPr>
          <w:rFonts w:asciiTheme="minorEastAsia" w:eastAsiaTheme="minorEastAsia" w:hAnsiTheme="minorEastAsia" w:hint="eastAsia"/>
          <w:color w:val="auto"/>
          <w:sz w:val="24"/>
          <w:lang w:val="en-US" w:eastAsia="zh-CN"/>
        </w:rPr>
        <w:t>0755-23911873</w:t>
      </w:r>
    </w:p>
    <w:p>
      <w:pPr>
        <w:adjustRightInd w:val="0"/>
        <w:snapToGrid w:val="0"/>
        <w:spacing w:line="360" w:lineRule="auto"/>
        <w:ind w:left="1041" w:hanging="262" w:leftChars="371" w:hangingChars="125"/>
        <w:jc w:val="left"/>
        <w:rPr>
          <w:rFonts w:asciiTheme="minorEastAsia" w:eastAsiaTheme="minorEastAsia" w:hAnsiTheme="minorEastAsia"/>
          <w:sz w:val="24"/>
        </w:rPr>
      </w:pPr>
      <w:r>
        <w:rPr>
          <w:rFonts w:asciiTheme="minorEastAsia" w:eastAsiaTheme="minorEastAsia" w:hAnsiTheme="minorEastAsia" w:cs="宋体" w:hint="eastAsia"/>
          <w:sz w:val="24"/>
        </w:rPr>
        <w:t>2.采购代理机构</w:t>
      </w:r>
      <w:bookmarkEnd w:id="58"/>
      <w:bookmarkEnd w:id="59"/>
    </w:p>
    <w:p>
      <w:pPr>
        <w:adjustRightInd w:val="0"/>
        <w:snapToGrid w:val="0"/>
        <w:spacing w:line="360" w:lineRule="auto"/>
        <w:ind w:firstLine="630" w:firstLineChars="300"/>
        <w:rPr>
          <w:rFonts w:asciiTheme="minorEastAsia" w:eastAsiaTheme="minorEastAsia" w:hAnsiTheme="minorEastAsia"/>
          <w:color w:val="auto"/>
          <w:sz w:val="24"/>
        </w:rPr>
      </w:pPr>
      <w:r>
        <w:rPr>
          <w:rFonts w:asciiTheme="minorEastAsia" w:eastAsiaTheme="minorEastAsia" w:hAnsiTheme="minorEastAsia" w:hint="eastAsia"/>
          <w:sz w:val="24"/>
        </w:rPr>
        <w:t>名 称：</w:t>
      </w:r>
      <w:r>
        <w:rPr>
          <w:rFonts w:asciiTheme="minorEastAsia" w:eastAsiaTheme="minorEastAsia" w:hAnsiTheme="minorEastAsia" w:cs="宋体" w:hint="eastAsia"/>
          <w:sz w:val="24"/>
        </w:rPr>
        <w:t>采联国</w:t>
      </w:r>
      <w:r>
        <w:rPr>
          <w:rFonts w:asciiTheme="minorEastAsia" w:eastAsiaTheme="minorEastAsia" w:hAnsiTheme="minorEastAsia" w:cs="宋体" w:hint="eastAsia"/>
          <w:color w:val="auto"/>
          <w:sz w:val="24"/>
        </w:rPr>
        <w:t>际招标采购集团有限公司</w:t>
      </w:r>
    </w:p>
    <w:p>
      <w:pPr>
        <w:adjustRightInd w:val="0"/>
        <w:snapToGrid w:val="0"/>
        <w:spacing w:line="360" w:lineRule="auto"/>
        <w:ind w:firstLine="630" w:firstLineChars="300"/>
        <w:rPr>
          <w:rFonts w:asciiTheme="minorEastAsia" w:eastAsiaTheme="minorEastAsia" w:hAnsiTheme="minorEastAsia"/>
          <w:color w:val="auto"/>
          <w:sz w:val="24"/>
        </w:rPr>
      </w:pPr>
      <w:r>
        <w:rPr>
          <w:rFonts w:asciiTheme="minorEastAsia" w:eastAsiaTheme="minorEastAsia" w:hAnsiTheme="minorEastAsia" w:hint="eastAsia"/>
          <w:color w:val="auto"/>
          <w:sz w:val="24"/>
        </w:rPr>
        <w:t>地 址：</w:t>
      </w:r>
      <w:r>
        <w:rPr>
          <w:rFonts w:asciiTheme="minorEastAsia" w:eastAsiaTheme="minorEastAsia" w:hAnsiTheme="minorEastAsia" w:cs="宋体" w:hint="eastAsia"/>
          <w:color w:val="auto"/>
          <w:sz w:val="24"/>
        </w:rPr>
        <w:t>深圳市福田区竹子林中国经贸大厦10A、B采联国际招标采购集团有限公司深圳分公司</w:t>
      </w:r>
    </w:p>
    <w:p>
      <w:pPr>
        <w:adjustRightInd w:val="0"/>
        <w:snapToGrid w:val="0"/>
        <w:spacing w:line="360" w:lineRule="auto"/>
        <w:ind w:firstLine="630" w:firstLineChars="300"/>
        <w:rPr>
          <w:rFonts w:asciiTheme="minorEastAsia" w:eastAsiaTheme="minorEastAsia" w:hAnsiTheme="minorEastAsia"/>
          <w:color w:val="auto"/>
          <w:sz w:val="24"/>
          <w:u w:val="single"/>
        </w:rPr>
      </w:pPr>
      <w:bookmarkStart w:id="60" w:name="_Toc28359087"/>
      <w:bookmarkStart w:id="61" w:name="_Toc28359010"/>
      <w:r>
        <w:rPr>
          <w:rFonts w:asciiTheme="minorEastAsia" w:eastAsiaTheme="minorEastAsia" w:hAnsiTheme="minorEastAsia" w:cs="宋体" w:hint="eastAsia"/>
          <w:color w:val="auto"/>
          <w:sz w:val="24"/>
        </w:rPr>
        <w:t>3.项目</w:t>
      </w:r>
      <w:r>
        <w:rPr>
          <w:rFonts w:asciiTheme="minorEastAsia" w:eastAsiaTheme="minorEastAsia" w:hAnsiTheme="minorEastAsia" w:cs="宋体"/>
          <w:color w:val="auto"/>
          <w:sz w:val="24"/>
        </w:rPr>
        <w:t>联系方式</w:t>
      </w:r>
      <w:bookmarkEnd w:id="60"/>
      <w:bookmarkEnd w:id="61"/>
    </w:p>
    <w:p>
      <w:pPr>
        <w:pStyle w:val="PlainText"/>
        <w:adjustRightInd w:val="0"/>
        <w:snapToGrid w:val="0"/>
        <w:spacing w:line="360" w:lineRule="auto"/>
        <w:ind w:firstLine="630" w:firstLineChars="300"/>
        <w:rPr>
          <w:rFonts w:asciiTheme="minorEastAsia" w:hAnsiTheme="minorEastAsia"/>
          <w:color w:val="auto"/>
          <w:sz w:val="24"/>
          <w:szCs w:val="24"/>
        </w:rPr>
      </w:pPr>
      <w:r>
        <w:rPr>
          <w:rFonts w:asciiTheme="minorEastAsia" w:hAnsiTheme="minorEastAsia" w:hint="eastAsia"/>
          <w:color w:val="auto"/>
          <w:sz w:val="24"/>
          <w:szCs w:val="24"/>
        </w:rPr>
        <w:t>项目联系人：</w:t>
      </w:r>
      <w:r>
        <w:rPr>
          <w:rFonts w:asciiTheme="minorEastAsia" w:hAnsiTheme="minorEastAsia" w:cs="宋体" w:hint="eastAsia"/>
          <w:color w:val="auto"/>
          <w:sz w:val="24"/>
          <w:szCs w:val="24"/>
          <w:lang w:val="en-US" w:eastAsia="zh-CN"/>
        </w:rPr>
        <w:t>朱</w:t>
      </w:r>
      <w:r>
        <w:rPr>
          <w:rFonts w:asciiTheme="minorEastAsia" w:hAnsiTheme="minorEastAsia" w:cs="宋体" w:hint="eastAsia"/>
          <w:color w:val="auto"/>
          <w:sz w:val="24"/>
          <w:szCs w:val="24"/>
        </w:rPr>
        <w:t>小姐</w:t>
      </w:r>
    </w:p>
    <w:p>
      <w:pPr>
        <w:adjustRightInd w:val="0"/>
        <w:snapToGrid w:val="0"/>
        <w:spacing w:line="360" w:lineRule="auto"/>
        <w:ind w:firstLine="630" w:firstLineChars="300"/>
        <w:rPr>
          <w:rFonts w:asciiTheme="minorEastAsia" w:eastAsiaTheme="minorEastAsia" w:hAnsiTheme="minorEastAsia" w:hint="default"/>
          <w:color w:val="auto"/>
          <w:sz w:val="24"/>
          <w:u w:val="single"/>
          <w:lang w:val="en-US" w:eastAsia="zh-CN"/>
        </w:rPr>
      </w:pPr>
      <w:r>
        <w:rPr>
          <w:rFonts w:asciiTheme="minorEastAsia" w:eastAsiaTheme="minorEastAsia" w:hAnsiTheme="minorEastAsia" w:hint="eastAsia"/>
          <w:color w:val="auto"/>
          <w:sz w:val="24"/>
        </w:rPr>
        <w:t>电 话：0755-8837 7571转</w:t>
      </w:r>
      <w:r>
        <w:rPr>
          <w:rFonts w:asciiTheme="minorEastAsia" w:eastAsiaTheme="minorEastAsia" w:hAnsiTheme="minorEastAsia" w:hint="eastAsia"/>
          <w:color w:val="auto"/>
          <w:sz w:val="24"/>
          <w:lang w:val="en-US" w:eastAsia="zh-CN"/>
        </w:rPr>
        <w:t>2314</w:t>
      </w:r>
    </w:p>
    <w:p>
      <w:pPr>
        <w:adjustRightInd w:val="0"/>
        <w:snapToGrid w:val="0"/>
        <w:spacing w:line="360" w:lineRule="auto"/>
        <w:ind w:firstLine="630" w:firstLineChars="300"/>
        <w:rPr>
          <w:rFonts w:asciiTheme="minorEastAsia" w:eastAsiaTheme="minorEastAsia" w:hAnsiTheme="minorEastAsia"/>
          <w:color w:val="auto"/>
          <w:sz w:val="24"/>
        </w:rPr>
      </w:pPr>
      <w:r>
        <w:rPr>
          <w:rFonts w:asciiTheme="minorEastAsia" w:eastAsiaTheme="minorEastAsia" w:hAnsiTheme="minorEastAsia" w:hint="eastAsia"/>
          <w:color w:val="auto"/>
          <w:sz w:val="24"/>
        </w:rPr>
        <w:t>邮 编：518040</w:t>
      </w:r>
    </w:p>
    <w:p>
      <w:pPr>
        <w:adjustRightInd w:val="0"/>
        <w:snapToGrid w:val="0"/>
        <w:spacing w:line="360" w:lineRule="auto"/>
        <w:ind w:firstLine="630" w:firstLineChars="300"/>
        <w:rPr>
          <w:rFonts w:asciiTheme="minorEastAsia" w:eastAsiaTheme="minorEastAsia" w:hAnsiTheme="minorEastAsia"/>
          <w:b/>
          <w:color w:val="595959" w:themeColor="text1" w:themeTint="A6"/>
          <w:sz w:val="24"/>
          <w:u w:val="single"/>
          <w14:textFill>
            <w14:solidFill>
              <w14:schemeClr w14:val="tx1">
                <w14:lumMod w14:val="65000"/>
                <w14:lumOff w14:val="35000"/>
              </w14:schemeClr>
            </w14:solidFill>
          </w14:textFill>
        </w:rPr>
      </w:pPr>
      <w:r>
        <w:rPr>
          <w:rFonts w:asciiTheme="minorEastAsia" w:eastAsiaTheme="minorEastAsia" w:hAnsiTheme="minorEastAsia" w:hint="eastAsia"/>
          <w:sz w:val="24"/>
        </w:rPr>
        <w:t>邮 箱：cailiansz@126.com</w:t>
      </w:r>
      <w:bookmarkStart w:id="62" w:name="_Toc435514843"/>
      <w:bookmarkStart w:id="63" w:name="_Toc435115052"/>
    </w:p>
    <w:p>
      <w:pPr>
        <w:pStyle w:val="Heading2"/>
        <w:adjustRightInd w:val="0"/>
        <w:snapToGrid w:val="0"/>
        <w:spacing w:line="360" w:lineRule="auto"/>
        <w:rPr>
          <w:rFonts w:asciiTheme="minorEastAsia" w:eastAsiaTheme="minorEastAsia" w:hAnsiTheme="minorEastAsia" w:cs="宋体"/>
          <w:b w:val="0"/>
          <w:sz w:val="24"/>
          <w:szCs w:val="24"/>
        </w:rPr>
      </w:pPr>
      <w:bookmarkStart w:id="64" w:name="_Toc12888"/>
      <w:bookmarkStart w:id="65" w:name="_Toc256000008"/>
      <w:r>
        <w:rPr>
          <w:rFonts w:asciiTheme="minorEastAsia" w:eastAsiaTheme="minorEastAsia" w:hAnsiTheme="minorEastAsia" w:cs="宋体" w:hint="eastAsia"/>
          <w:b w:val="0"/>
          <w:sz w:val="24"/>
          <w:szCs w:val="24"/>
        </w:rPr>
        <w:t>八、招标文件</w:t>
      </w:r>
      <w:bookmarkEnd w:id="65"/>
      <w:bookmarkEnd w:id="64"/>
    </w:p>
    <w:p>
      <w:pPr>
        <w:tabs>
          <w:tab w:val="right" w:pos="9180"/>
        </w:tabs>
        <w:adjustRightInd w:val="0"/>
        <w:snapToGrid w:val="0"/>
        <w:spacing w:line="360" w:lineRule="auto"/>
        <w:ind w:firstLine="435"/>
        <w:jc w:val="left"/>
        <w:rPr>
          <w:rFonts w:asciiTheme="minorEastAsia" w:eastAsiaTheme="minorEastAsia" w:hAnsiTheme="minorEastAsia"/>
          <w:color w:val="000000"/>
          <w:sz w:val="24"/>
        </w:rPr>
      </w:pPr>
      <w:r>
        <w:rPr>
          <w:rFonts w:asciiTheme="minorEastAsia" w:eastAsiaTheme="minorEastAsia" w:hAnsiTheme="minorEastAsia" w:hint="eastAsia"/>
          <w:color w:val="000000"/>
          <w:sz w:val="24"/>
        </w:rPr>
        <w:t>采购文件szczf：-详见后面附件-</w:t>
      </w:r>
    </w:p>
    <w:p>
      <w:pPr>
        <w:tabs>
          <w:tab w:val="right" w:pos="9180"/>
        </w:tabs>
        <w:adjustRightInd w:val="0"/>
        <w:snapToGrid w:val="0"/>
        <w:spacing w:line="360" w:lineRule="auto"/>
        <w:ind w:firstLine="435"/>
        <w:jc w:val="left"/>
        <w:rPr>
          <w:rFonts w:asciiTheme="minorEastAsia" w:eastAsiaTheme="minorEastAsia" w:hAnsiTheme="minorEastAsia"/>
          <w:color w:val="000000"/>
          <w:sz w:val="24"/>
        </w:rPr>
      </w:pPr>
      <w:r>
        <w:rPr>
          <w:rFonts w:asciiTheme="minorEastAsia" w:eastAsiaTheme="minorEastAsia" w:hAnsiTheme="minorEastAsia" w:hint="eastAsia"/>
          <w:color w:val="000000"/>
          <w:sz w:val="24"/>
        </w:rPr>
        <w:t>采购文件PDF：-详见后面附件-</w:t>
      </w:r>
    </w:p>
    <w:p>
      <w:pPr>
        <w:tabs>
          <w:tab w:val="right" w:pos="9180"/>
        </w:tabs>
        <w:adjustRightInd w:val="0"/>
        <w:snapToGrid w:val="0"/>
        <w:spacing w:line="360" w:lineRule="auto"/>
        <w:ind w:firstLine="435"/>
        <w:jc w:val="left"/>
        <w:rPr>
          <w:rFonts w:asciiTheme="minorEastAsia" w:eastAsiaTheme="minorEastAsia" w:hAnsiTheme="minorEastAsia"/>
          <w:color w:val="000000"/>
          <w:sz w:val="24"/>
        </w:rPr>
      </w:pPr>
      <w:r>
        <w:rPr>
          <w:rFonts w:asciiTheme="minorEastAsia" w:eastAsiaTheme="minorEastAsia" w:hAnsiTheme="minorEastAsia" w:hint="eastAsia"/>
          <w:color w:val="000000"/>
          <w:sz w:val="24"/>
        </w:rPr>
        <w:t>采购文件DOC：-详见后面附件-</w:t>
      </w:r>
    </w:p>
    <w:p>
      <w:pPr>
        <w:tabs>
          <w:tab w:val="right" w:pos="9180"/>
        </w:tabs>
        <w:adjustRightInd w:val="0"/>
        <w:snapToGrid w:val="0"/>
        <w:spacing w:line="360" w:lineRule="auto"/>
        <w:ind w:firstLine="435"/>
        <w:jc w:val="left"/>
        <w:rPr>
          <w:rFonts w:asciiTheme="minorEastAsia" w:eastAsiaTheme="minorEastAsia" w:hAnsiTheme="minorEastAsia"/>
          <w:color w:val="000000"/>
          <w:sz w:val="24"/>
        </w:rPr>
      </w:pPr>
      <w:r>
        <w:rPr>
          <w:rFonts w:asciiTheme="minorEastAsia" w:eastAsiaTheme="minorEastAsia" w:hAnsiTheme="minorEastAsia" w:hint="eastAsia"/>
          <w:color w:val="000000"/>
          <w:sz w:val="24"/>
        </w:rPr>
        <w:t>采购文件附件：（如工程类项目，还包括图纸和工程量清单）-详见后面附件-</w:t>
      </w:r>
    </w:p>
    <w:p>
      <w:pPr>
        <w:tabs>
          <w:tab w:val="right" w:pos="9180"/>
        </w:tabs>
        <w:adjustRightInd w:val="0"/>
        <w:snapToGrid w:val="0"/>
        <w:spacing w:line="360" w:lineRule="auto"/>
        <w:ind w:firstLine="435"/>
        <w:jc w:val="left"/>
        <w:rPr>
          <w:rFonts w:asciiTheme="minorEastAsia" w:eastAsiaTheme="minorEastAsia" w:hAnsiTheme="minorEastAsia"/>
          <w:color w:val="000000"/>
          <w:sz w:val="24"/>
        </w:rPr>
      </w:pPr>
    </w:p>
    <w:p>
      <w:pPr>
        <w:tabs>
          <w:tab w:val="right" w:pos="9180"/>
        </w:tabs>
        <w:adjustRightInd w:val="0"/>
        <w:snapToGrid w:val="0"/>
        <w:spacing w:line="360" w:lineRule="auto"/>
        <w:ind w:firstLine="435"/>
        <w:jc w:val="left"/>
        <w:rPr>
          <w:rFonts w:asciiTheme="minorEastAsia" w:eastAsiaTheme="minorEastAsia" w:hAnsiTheme="minorEastAsia"/>
          <w:color w:val="000000"/>
          <w:sz w:val="24"/>
        </w:rPr>
      </w:pPr>
      <w:r>
        <w:rPr>
          <w:rFonts w:asciiTheme="minorEastAsia" w:eastAsiaTheme="minorEastAsia" w:hAnsiTheme="minorEastAsia" w:hint="eastAsia"/>
          <w:color w:val="000000"/>
          <w:sz w:val="24"/>
        </w:rPr>
        <w:t>通用附件：</w:t>
      </w:r>
    </w:p>
    <w:p>
      <w:pPr>
        <w:tabs>
          <w:tab w:val="right" w:pos="9180"/>
        </w:tabs>
        <w:adjustRightInd w:val="0"/>
        <w:snapToGrid w:val="0"/>
        <w:spacing w:line="360" w:lineRule="auto"/>
        <w:ind w:firstLine="435"/>
        <w:jc w:val="left"/>
        <w:rPr>
          <w:rFonts w:asciiTheme="minorEastAsia" w:eastAsiaTheme="minorEastAsia" w:hAnsiTheme="minorEastAsia"/>
          <w:color w:val="000000"/>
          <w:sz w:val="24"/>
        </w:rPr>
      </w:pPr>
      <w:r>
        <w:rPr>
          <w:rFonts w:asciiTheme="minorEastAsia" w:eastAsiaTheme="minorEastAsia" w:hAnsiTheme="minorEastAsia" w:hint="eastAsia"/>
          <w:color w:val="000000"/>
          <w:sz w:val="24"/>
        </w:rPr>
        <w:t>1、请下载并使用相应的深圳智慧采购平台投标文件制作专用软件打开招标文件（.szczf格式）。</w:t>
      </w:r>
    </w:p>
    <w:p>
      <w:pPr>
        <w:tabs>
          <w:tab w:val="right" w:pos="9180"/>
        </w:tabs>
        <w:adjustRightInd w:val="0"/>
        <w:snapToGrid w:val="0"/>
        <w:spacing w:line="360" w:lineRule="auto"/>
        <w:ind w:firstLine="435"/>
        <w:jc w:val="left"/>
        <w:rPr>
          <w:rFonts w:asciiTheme="minorEastAsia" w:eastAsiaTheme="minorEastAsia" w:hAnsiTheme="minorEastAsia"/>
          <w:b/>
          <w:color w:val="595959" w:themeColor="text1" w:themeTint="A6"/>
          <w:sz w:val="24"/>
          <w:u w:val="single"/>
          <w14:textFill>
            <w14:solidFill>
              <w14:schemeClr w14:val="tx1">
                <w14:lumMod w14:val="65000"/>
                <w14:lumOff w14:val="35000"/>
              </w14:schemeClr>
            </w14:solidFill>
          </w14:textFill>
        </w:rPr>
      </w:pPr>
      <w:r>
        <w:rPr>
          <w:rFonts w:asciiTheme="minorEastAsia" w:eastAsiaTheme="minorEastAsia" w:hAnsiTheme="minorEastAsia" w:hint="eastAsia"/>
          <w:color w:val="000000"/>
          <w:sz w:val="24"/>
        </w:rPr>
        <w:t>2、供应商端操作手册。</w:t>
      </w:r>
    </w:p>
    <w:p>
      <w:pPr>
        <w:tabs>
          <w:tab w:val="right" w:pos="9180"/>
        </w:tabs>
        <w:adjustRightInd w:val="0"/>
        <w:snapToGrid w:val="0"/>
        <w:spacing w:line="360" w:lineRule="auto"/>
        <w:ind w:firstLine="435"/>
        <w:jc w:val="right"/>
        <w:rPr>
          <w:rFonts w:asciiTheme="minorEastAsia" w:eastAsiaTheme="minorEastAsia" w:hAnsiTheme="minorEastAsia"/>
          <w:b/>
          <w:color w:val="595959" w:themeColor="text1" w:themeTint="A6"/>
          <w:sz w:val="24"/>
          <w:u w:val="single"/>
          <w14:textFill>
            <w14:solidFill>
              <w14:schemeClr w14:val="tx1">
                <w14:lumMod w14:val="65000"/>
                <w14:lumOff w14:val="35000"/>
              </w14:schemeClr>
            </w14:solidFill>
          </w14:textFill>
        </w:rPr>
      </w:pPr>
    </w:p>
    <w:p>
      <w:pPr>
        <w:tabs>
          <w:tab w:val="right" w:pos="9180"/>
        </w:tabs>
        <w:adjustRightInd w:val="0"/>
        <w:snapToGrid w:val="0"/>
        <w:spacing w:line="360" w:lineRule="auto"/>
        <w:ind w:firstLine="435"/>
        <w:jc w:val="right"/>
        <w:rPr>
          <w:rFonts w:asciiTheme="minorEastAsia" w:eastAsiaTheme="minorEastAsia" w:hAnsiTheme="minorEastAsia"/>
          <w:b/>
          <w:sz w:val="24"/>
        </w:rPr>
      </w:pPr>
      <w:r>
        <w:rPr>
          <w:rFonts w:asciiTheme="minorEastAsia" w:eastAsiaTheme="minorEastAsia" w:hAnsiTheme="minorEastAsia" w:hint="eastAsia"/>
          <w:b/>
          <w:sz w:val="24"/>
        </w:rPr>
        <w:t>采联国际招标采购集团有限公司</w:t>
      </w:r>
    </w:p>
    <w:p>
      <w:pPr>
        <w:adjustRightInd w:val="0"/>
        <w:snapToGrid w:val="0"/>
        <w:spacing w:line="360" w:lineRule="auto"/>
        <w:ind w:firstLine="435"/>
        <w:jc w:val="right"/>
        <w:rPr>
          <w:rFonts w:asciiTheme="minorEastAsia" w:eastAsiaTheme="minorEastAsia" w:hAnsiTheme="minorEastAsia"/>
          <w:b/>
          <w:sz w:val="24"/>
        </w:rPr>
      </w:pPr>
      <w:r>
        <w:rPr>
          <w:rFonts w:asciiTheme="minorEastAsia" w:eastAsiaTheme="minorEastAsia" w:hAnsiTheme="minorEastAsia" w:hint="eastAsia"/>
          <w:b/>
          <w:sz w:val="24"/>
          <w:lang w:val="en-US" w:eastAsia="zh-CN"/>
        </w:rPr>
        <w:t>2022</w:t>
      </w:r>
      <w:r>
        <w:rPr>
          <w:rFonts w:asciiTheme="minorEastAsia" w:eastAsiaTheme="minorEastAsia" w:hAnsiTheme="minorEastAsia" w:hint="eastAsia"/>
          <w:b/>
          <w:sz w:val="24"/>
        </w:rPr>
        <w:t>年</w:t>
      </w:r>
      <w:r>
        <w:rPr>
          <w:rFonts w:asciiTheme="minorEastAsia" w:eastAsiaTheme="minorEastAsia" w:hAnsiTheme="minorEastAsia" w:hint="eastAsia"/>
          <w:b/>
          <w:sz w:val="24"/>
          <w:lang w:val="en-US" w:eastAsia="zh-CN"/>
        </w:rPr>
        <w:t>11</w:t>
      </w:r>
      <w:r>
        <w:rPr>
          <w:rFonts w:asciiTheme="minorEastAsia" w:eastAsiaTheme="minorEastAsia" w:hAnsiTheme="minorEastAsia" w:hint="eastAsia"/>
          <w:b/>
          <w:sz w:val="24"/>
        </w:rPr>
        <w:t>月</w:t>
      </w:r>
      <w:r>
        <w:rPr>
          <w:rFonts w:asciiTheme="minorEastAsia" w:eastAsiaTheme="minorEastAsia" w:hAnsiTheme="minorEastAsia" w:hint="eastAsia"/>
          <w:b/>
          <w:sz w:val="24"/>
          <w:lang w:val="en-US" w:eastAsia="zh-CN"/>
        </w:rPr>
        <w:t>24</w:t>
      </w:r>
      <w:r>
        <w:rPr>
          <w:rFonts w:asciiTheme="minorEastAsia" w:eastAsiaTheme="minorEastAsia" w:hAnsiTheme="minorEastAsia" w:hint="eastAsia"/>
          <w:b/>
          <w:sz w:val="24"/>
        </w:rPr>
        <w:t>日</w:t>
      </w:r>
    </w:p>
    <w:p>
      <w:pPr>
        <w:adjustRightInd w:val="0"/>
        <w:snapToGrid w:val="0"/>
        <w:spacing w:line="360" w:lineRule="auto"/>
        <w:ind w:firstLine="435"/>
        <w:jc w:val="right"/>
        <w:rPr>
          <w:rFonts w:asciiTheme="minorEastAsia" w:eastAsiaTheme="minorEastAsia" w:hAnsiTheme="minorEastAsia"/>
          <w:b/>
          <w:sz w:val="24"/>
        </w:rPr>
      </w:pPr>
    </w:p>
    <w:tbl>
      <w:tblPr>
        <w:tblStyle w:val="TableNormal"/>
        <w:tblW w:w="7382" w:type="dxa"/>
        <w:jc w:val="center"/>
        <w:tblCellSpacing w:w="0" w:type="dxa"/>
        <w:tblLayout w:type="fixed"/>
        <w:tblCellMar>
          <w:top w:w="24" w:type="dxa"/>
          <w:left w:w="24" w:type="dxa"/>
          <w:bottom w:w="24" w:type="dxa"/>
          <w:right w:w="24" w:type="dxa"/>
        </w:tblCellMar>
      </w:tblPr>
      <w:tblGrid>
        <w:gridCol w:w="7382"/>
      </w:tblGrid>
      <w:tr>
        <w:tblPrEx>
          <w:tblW w:w="7382" w:type="dxa"/>
          <w:jc w:val="center"/>
          <w:tblCellSpacing w:w="0" w:type="dxa"/>
          <w:tblLayout w:type="fixed"/>
          <w:tblCellMar>
            <w:top w:w="24" w:type="dxa"/>
            <w:left w:w="24" w:type="dxa"/>
            <w:bottom w:w="24" w:type="dxa"/>
            <w:right w:w="24" w:type="dxa"/>
          </w:tblCellMar>
        </w:tblPrEx>
        <w:trPr>
          <w:tblCellSpacing w:w="0" w:type="dxa"/>
          <w:jc w:val="center"/>
        </w:trPr>
        <w:tc>
          <w:tcPr>
            <w:tcW w:w="7382" w:type="dxa"/>
          </w:tcPr>
          <w:p>
            <w:pPr>
              <w:widowControl/>
              <w:spacing w:before="100" w:beforeAutospacing="1" w:after="100" w:afterAutospacing="1"/>
              <w:jc w:val="center"/>
              <w:rPr>
                <w:rFonts w:ascii="仿宋" w:eastAsia="仿宋" w:hAnsi="仿宋" w:cstheme="minorBidi"/>
                <w:sz w:val="28"/>
                <w:szCs w:val="28"/>
              </w:rPr>
            </w:pPr>
            <w:r>
              <w:rPr>
                <w:rFonts w:ascii="SourceHanSansCN-Regular" w:eastAsia="SourceHanSansCN-Regular" w:hAnsi="SourceHanSansCN-Regular" w:cs="SourceHanSansCN-Regular"/>
                <w:color w:val="333333"/>
                <w:sz w:val="14"/>
                <w:szCs w:val="14"/>
              </w:rPr>
              <w:drawing>
                <wp:inline distT="0" distB="0" distL="114300" distR="114300">
                  <wp:extent cx="304800" cy="304800"/>
                  <wp:effectExtent l="0" t="0" r="0" b="0"/>
                  <wp:docPr id="8"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descr="IMG_256"/>
                          <pic:cNvPicPr>
                            <a:picLocks noChangeAspect="1"/>
                          </pic:cNvPicPr>
                        </pic:nvPicPr>
                        <pic:blipFill>
                          <a:blip xmlns:r="http://schemas.openxmlformats.org/officeDocument/2006/relationships" r:embed="rId10" cstate="print"/>
                          <a:stretch>
                            <a:fillRect/>
                          </a:stretch>
                        </pic:blipFill>
                        <pic:spPr>
                          <a:xfrm>
                            <a:off x="0" y="0"/>
                            <a:ext cx="304800" cy="304800"/>
                          </a:xfrm>
                          <a:prstGeom prst="rect">
                            <a:avLst/>
                          </a:prstGeom>
                          <a:noFill/>
                          <a:ln w="9525">
                            <a:noFill/>
                          </a:ln>
                        </pic:spPr>
                      </pic:pic>
                    </a:graphicData>
                  </a:graphic>
                </wp:inline>
              </w:drawing>
            </w:r>
            <w:r>
              <w:rPr>
                <w:rFonts w:ascii="SourceHanSansCN-Regular" w:eastAsia="SourceHanSansCN-Regular" w:hAnsi="SourceHanSansCN-Regular" w:cs="SourceHanSansCN-Regular"/>
                <w:color w:val="333333"/>
                <w:sz w:val="14"/>
                <w:szCs w:val="14"/>
              </w:rPr>
              <w:drawing>
                <wp:inline distT="0" distB="0" distL="114300" distR="114300">
                  <wp:extent cx="304800" cy="304800"/>
                  <wp:effectExtent l="0" t="0" r="0" b="0"/>
                  <wp:docPr id="11"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2" descr="IMG_256"/>
                          <pic:cNvPicPr>
                            <a:picLocks noChangeAspect="1"/>
                          </pic:cNvPicPr>
                        </pic:nvPicPr>
                        <pic:blipFill>
                          <a:blip xmlns:r="http://schemas.openxmlformats.org/officeDocument/2006/relationships" r:embed="rId10" cstate="print"/>
                          <a:stretch>
                            <a:fillRect/>
                          </a:stretch>
                        </pic:blipFill>
                        <pic:spPr>
                          <a:xfrm>
                            <a:off x="0" y="0"/>
                            <a:ext cx="304800" cy="304800"/>
                          </a:xfrm>
                          <a:prstGeom prst="rect">
                            <a:avLst/>
                          </a:prstGeom>
                          <a:noFill/>
                          <a:ln w="9525">
                            <a:noFill/>
                          </a:ln>
                        </pic:spPr>
                      </pic:pic>
                    </a:graphicData>
                  </a:graphic>
                </wp:inline>
              </w:drawing>
            </w:r>
            <w:r>
              <w:drawing>
                <wp:inline distT="0" distB="0" distL="0" distR="0">
                  <wp:extent cx="3171825" cy="3200400"/>
                  <wp:effectExtent l="0" t="0" r="9525" b="0"/>
                  <wp:docPr id="12" name="图片 12" descr="QR 代码&#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QR 代码&#10;&#10;描述已自动生成"/>
                          <pic:cNvPicPr>
                            <a:picLocks noChangeAspect="1"/>
                          </pic:cNvPicPr>
                        </pic:nvPicPr>
                        <pic:blipFill>
                          <a:blip xmlns:r="http://schemas.openxmlformats.org/officeDocument/2006/relationships" r:embed="rId11" cstate="print"/>
                          <a:stretch>
                            <a:fillRect/>
                          </a:stretch>
                        </pic:blipFill>
                        <pic:spPr>
                          <a:xfrm>
                            <a:off x="0" y="0"/>
                            <a:ext cx="3171825" cy="3200400"/>
                          </a:xfrm>
                          <a:prstGeom prst="rect">
                            <a:avLst/>
                          </a:prstGeom>
                        </pic:spPr>
                      </pic:pic>
                    </a:graphicData>
                  </a:graphic>
                </wp:inline>
              </w:drawing>
            </w:r>
          </w:p>
        </w:tc>
      </w:tr>
    </w:tbl>
    <w:p>
      <w:pPr>
        <w:adjustRightInd w:val="0"/>
        <w:snapToGrid w:val="0"/>
        <w:spacing w:line="360" w:lineRule="auto"/>
        <w:ind w:firstLine="435"/>
        <w:jc w:val="right"/>
        <w:rPr>
          <w:rFonts w:ascii="宋体" w:hAnsi="宋体" w:cs="宋体"/>
          <w:color w:val="000000"/>
          <w:kern w:val="0"/>
          <w:sz w:val="28"/>
          <w:szCs w:val="28"/>
        </w:rPr>
      </w:pPr>
      <w:r>
        <w:rPr>
          <w:rFonts w:asciiTheme="minorEastAsia" w:eastAsiaTheme="minorEastAsia" w:hAnsiTheme="minorEastAsia"/>
          <w:b/>
          <w:bCs/>
          <w:sz w:val="24"/>
        </w:rPr>
        <w:br w:type="page"/>
      </w:r>
      <w:bookmarkEnd w:id="62"/>
      <w:bookmarkEnd w:id="63"/>
      <w:bookmarkStart w:id="66" w:name="_Toc435109306"/>
      <w:bookmarkStart w:id="67" w:name="_Toc435514850"/>
      <w:bookmarkStart w:id="68" w:name="_Toc435115055"/>
    </w:p>
    <w:p>
      <w:pPr>
        <w:spacing w:before="156" w:beforeLines="50" w:after="156" w:afterLines="50" w:line="360" w:lineRule="auto"/>
        <w:jc w:val="center"/>
        <w:outlineLvl w:val="0"/>
        <w:rPr>
          <w:color w:val="FF0000"/>
        </w:rPr>
      </w:pPr>
      <w:bookmarkStart w:id="69" w:name="_Toc13067021"/>
      <w:bookmarkStart w:id="70" w:name="_Toc31675"/>
      <w:bookmarkStart w:id="71" w:name="_Toc256000009"/>
      <w:r>
        <w:rPr>
          <w:rFonts w:hint="eastAsia"/>
          <w:b/>
          <w:bCs/>
          <w:sz w:val="28"/>
          <w:szCs w:val="28"/>
        </w:rPr>
        <w:t>第二章 用户需求书</w:t>
      </w:r>
      <w:bookmarkEnd w:id="71"/>
      <w:bookmarkEnd w:id="69"/>
      <w:bookmarkEnd w:id="70"/>
    </w:p>
    <w:p>
      <w:pPr>
        <w:pStyle w:val="PlainText"/>
        <w:numPr>
          <w:ilvl w:val="0"/>
          <w:numId w:val="2"/>
        </w:numPr>
        <w:tabs>
          <w:tab w:val="left" w:pos="540"/>
        </w:tabs>
        <w:adjustRightInd w:val="0"/>
        <w:snapToGrid w:val="0"/>
        <w:spacing w:line="360" w:lineRule="auto"/>
        <w:rPr>
          <w:rFonts w:asciiTheme="minorEastAsia" w:hAnsiTheme="minorEastAsia"/>
          <w:b/>
          <w:color w:val="auto"/>
          <w:sz w:val="24"/>
          <w:szCs w:val="24"/>
        </w:rPr>
      </w:pPr>
      <w:r>
        <w:rPr>
          <w:rFonts w:asciiTheme="minorEastAsia" w:hAnsiTheme="minorEastAsia" w:hint="eastAsia"/>
          <w:b/>
          <w:color w:val="auto"/>
          <w:sz w:val="24"/>
          <w:szCs w:val="24"/>
        </w:rPr>
        <w:t>有关说明</w:t>
      </w:r>
    </w:p>
    <w:p>
      <w:pPr>
        <w:numPr>
          <w:ilvl w:val="0"/>
          <w:numId w:val="3"/>
        </w:numPr>
        <w:tabs>
          <w:tab w:val="clear" w:pos="420"/>
          <w:tab w:val="left" w:pos="567"/>
        </w:tabs>
        <w:snapToGrid w:val="0"/>
        <w:spacing w:line="360" w:lineRule="auto"/>
        <w:rPr>
          <w:rFonts w:asciiTheme="minorEastAsia" w:eastAsiaTheme="minorEastAsia" w:hAnsiTheme="minorEastAsia" w:cs="宋体"/>
          <w:color w:val="auto"/>
          <w:sz w:val="24"/>
          <w:lang w:eastAsia="zh-TW"/>
        </w:rPr>
      </w:pPr>
      <w:r>
        <w:rPr>
          <w:rFonts w:asciiTheme="minorEastAsia" w:eastAsiaTheme="minorEastAsia" w:hAnsiTheme="minorEastAsia" w:hint="eastAsia"/>
          <w:bCs/>
          <w:color w:val="auto"/>
          <w:sz w:val="24"/>
        </w:rPr>
        <w:t>投标人须对本项目的采购标的进行整体投标，任何只对本项目采购标的其中一部分内容、数量进行的投标都被视为无效投标。</w:t>
      </w:r>
    </w:p>
    <w:p>
      <w:pPr>
        <w:numPr>
          <w:ilvl w:val="0"/>
          <w:numId w:val="3"/>
        </w:numPr>
        <w:tabs>
          <w:tab w:val="clear" w:pos="420"/>
          <w:tab w:val="left" w:pos="567"/>
        </w:tabs>
        <w:snapToGrid w:val="0"/>
        <w:spacing w:line="360" w:lineRule="auto"/>
        <w:rPr>
          <w:rFonts w:asciiTheme="minorEastAsia" w:eastAsiaTheme="minorEastAsia" w:hAnsiTheme="minorEastAsia"/>
          <w:bCs/>
          <w:color w:val="auto"/>
          <w:sz w:val="24"/>
        </w:rPr>
      </w:pPr>
      <w:r>
        <w:rPr>
          <w:rFonts w:asciiTheme="minorEastAsia" w:eastAsiaTheme="minorEastAsia" w:hAnsiTheme="minorEastAsia" w:hint="eastAsia"/>
          <w:bCs/>
          <w:color w:val="auto"/>
          <w:sz w:val="24"/>
        </w:rPr>
        <w:t>用户需求书中标注</w:t>
      </w:r>
      <w:r>
        <w:rPr>
          <w:rFonts w:asciiTheme="minorEastAsia" w:eastAsiaTheme="minorEastAsia" w:hAnsiTheme="minorEastAsia"/>
          <w:bCs/>
          <w:color w:val="auto"/>
          <w:sz w:val="24"/>
        </w:rPr>
        <w:t>“</w:t>
      </w:r>
      <w:r>
        <w:rPr>
          <w:rFonts w:asciiTheme="minorEastAsia" w:eastAsiaTheme="minorEastAsia" w:hAnsiTheme="minorEastAsia" w:hint="eastAsia"/>
          <w:bCs/>
          <w:color w:val="auto"/>
          <w:sz w:val="24"/>
        </w:rPr>
        <w:t>★</w:t>
      </w:r>
      <w:r>
        <w:rPr>
          <w:rFonts w:asciiTheme="minorEastAsia" w:eastAsiaTheme="minorEastAsia" w:hAnsiTheme="minorEastAsia"/>
          <w:bCs/>
          <w:color w:val="auto"/>
          <w:sz w:val="24"/>
        </w:rPr>
        <w:t>”</w:t>
      </w:r>
      <w:r>
        <w:rPr>
          <w:rFonts w:asciiTheme="minorEastAsia" w:eastAsiaTheme="minorEastAsia" w:hAnsiTheme="minorEastAsia" w:hint="eastAsia"/>
          <w:bCs/>
          <w:color w:val="auto"/>
          <w:sz w:val="24"/>
        </w:rPr>
        <w:t>号条款为实质性条款，必须逐条进行响应，有任何一条负偏离的，将导致无效投标。</w:t>
      </w:r>
    </w:p>
    <w:p>
      <w:pPr>
        <w:pStyle w:val="PlainText"/>
        <w:numPr>
          <w:ilvl w:val="0"/>
          <w:numId w:val="2"/>
        </w:numPr>
        <w:tabs>
          <w:tab w:val="left" w:pos="540"/>
        </w:tabs>
        <w:adjustRightInd w:val="0"/>
        <w:snapToGrid w:val="0"/>
        <w:spacing w:line="360" w:lineRule="auto"/>
        <w:rPr>
          <w:rFonts w:asciiTheme="minorEastAsia" w:hAnsiTheme="minorEastAsia"/>
          <w:b/>
          <w:sz w:val="24"/>
          <w:szCs w:val="24"/>
          <w:u w:val="single"/>
        </w:rPr>
      </w:pPr>
      <w:r>
        <w:rPr>
          <w:rFonts w:asciiTheme="minorEastAsia" w:hAnsiTheme="minorEastAsia" w:hint="eastAsia"/>
          <w:b/>
          <w:sz w:val="24"/>
          <w:szCs w:val="24"/>
        </w:rPr>
        <w:t>项目基本概况</w:t>
      </w:r>
    </w:p>
    <w:p>
      <w:pPr>
        <w:autoSpaceDE w:val="0"/>
        <w:autoSpaceDN w:val="0"/>
        <w:adjustRightInd w:val="0"/>
        <w:spacing w:line="360" w:lineRule="auto"/>
        <w:ind w:firstLine="420" w:firstLineChars="200"/>
        <w:rPr>
          <w:rFonts w:ascii="宋体" w:eastAsia="宋体" w:hAnsi="宋体" w:cs="宋体" w:hint="eastAsia"/>
          <w:sz w:val="24"/>
          <w:szCs w:val="24"/>
        </w:rPr>
      </w:pPr>
      <w:r>
        <w:rPr>
          <w:rFonts w:ascii="宋体" w:eastAsia="宋体" w:hAnsi="宋体" w:cs="宋体" w:hint="eastAsia"/>
          <w:sz w:val="24"/>
          <w:szCs w:val="24"/>
        </w:rPr>
        <w:t>为进一步强化碳排放权交易对重点排放单位低碳转型的市场化引导作用，《深圳率先打造美丽中国典范行动方案（2020-2025年）》《深圳市生态环境保护“十四五”规划》《深圳市应对气候变化“十四五”规划》等政策文件均提出“扩大碳排放权交易市场覆盖面”“有序扩大市场覆盖范围”“有序扩大碳交易体系覆盖面”的工作计划。为深入贯彻相关政策要求，进一步加快碳交易市场建设、加强温室气体排放控制，有必要扩大基准年碳核查工作的行业覆盖面，摸清企业历史碳排放底数，为分批次新增碳交易市场纳管企业提供实际数据支撑。</w:t>
      </w:r>
    </w:p>
    <w:p>
      <w:pPr>
        <w:pStyle w:val="PlainText"/>
        <w:numPr>
          <w:ilvl w:val="0"/>
          <w:numId w:val="0"/>
        </w:numPr>
        <w:tabs>
          <w:tab w:val="left" w:pos="540"/>
        </w:tabs>
        <w:adjustRightInd w:val="0"/>
        <w:snapToGrid w:val="0"/>
        <w:spacing w:line="360" w:lineRule="auto"/>
        <w:ind w:firstLine="420" w:firstLineChars="200"/>
        <w:rPr>
          <w:rFonts w:asciiTheme="minorEastAsia" w:hAnsiTheme="minorEastAsia"/>
          <w:b/>
          <w:sz w:val="24"/>
          <w:szCs w:val="24"/>
        </w:rPr>
      </w:pPr>
      <w:r>
        <w:rPr>
          <w:rFonts w:ascii="宋体" w:eastAsia="宋体" w:hAnsi="宋体" w:cs="宋体" w:hint="eastAsia"/>
          <w:sz w:val="24"/>
          <w:szCs w:val="24"/>
        </w:rPr>
        <w:t>为全面高效实施企业基准年碳排放核查工作，提高基准年碳排放核查数据质量，需结合深圳碳市场管理实际，匹配新一批企业行业归属，规范化基准年碳核查全流程文件模板，对接核查机构实际工作过程中的管理难点和技术问题，形成特殊行业碳排放量化核查重难点技术解决方案，对基准年碳核查报告进行文件评审，有必要时实施现场复核，并汇总梳理基准年碳核查数据结果及工作成果，提出深圳碳市场扩容工作建议。</w:t>
      </w:r>
    </w:p>
    <w:p>
      <w:pPr>
        <w:pStyle w:val="PlainText"/>
        <w:numPr>
          <w:ilvl w:val="0"/>
          <w:numId w:val="2"/>
        </w:numPr>
        <w:tabs>
          <w:tab w:val="left" w:pos="540"/>
        </w:tabs>
        <w:adjustRightInd w:val="0"/>
        <w:snapToGrid w:val="0"/>
        <w:spacing w:line="360" w:lineRule="auto"/>
        <w:rPr>
          <w:rFonts w:asciiTheme="minorEastAsia" w:hAnsiTheme="minorEastAsia"/>
          <w:b/>
          <w:sz w:val="24"/>
          <w:szCs w:val="24"/>
        </w:rPr>
      </w:pPr>
      <w:r>
        <w:rPr>
          <w:rFonts w:asciiTheme="minorEastAsia" w:hAnsiTheme="minorEastAsia" w:hint="eastAsia"/>
          <w:b/>
          <w:sz w:val="24"/>
          <w:szCs w:val="24"/>
        </w:rPr>
        <w:t>服务内容</w:t>
      </w:r>
    </w:p>
    <w:tbl>
      <w:tblPr>
        <w:tblStyle w:val="TableNormal"/>
        <w:tblW w:w="4995"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1982"/>
        <w:gridCol w:w="834"/>
        <w:gridCol w:w="1510"/>
        <w:gridCol w:w="1693"/>
        <w:gridCol w:w="1963"/>
        <w:gridCol w:w="1405"/>
      </w:tblGrid>
      <w:tr>
        <w:tblPrEx>
          <w:tblW w:w="4995"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cantSplit/>
          <w:trHeight w:val="70"/>
        </w:trPr>
        <w:tc>
          <w:tcPr>
            <w:tcW w:w="1055" w:type="pct"/>
            <w:tcBorders>
              <w:top w:val="single" w:sz="4" w:space="0" w:color="auto"/>
              <w:left w:val="single" w:sz="4" w:space="0" w:color="auto"/>
              <w:right w:val="single" w:sz="4" w:space="0" w:color="auto"/>
            </w:tcBorders>
            <w:shd w:val="clear" w:color="auto" w:fill="EEECE1"/>
            <w:vAlign w:val="center"/>
          </w:tcPr>
          <w:p>
            <w:pPr>
              <w:adjustRightInd w:val="0"/>
              <w:snapToGrid w:val="0"/>
              <w:jc w:val="center"/>
              <w:rPr>
                <w:rFonts w:ascii="宋体"/>
                <w:b/>
                <w:sz w:val="24"/>
              </w:rPr>
            </w:pPr>
            <w:r>
              <w:rPr>
                <w:rFonts w:ascii="宋体" w:hint="eastAsia"/>
                <w:b/>
                <w:sz w:val="24"/>
              </w:rPr>
              <w:t>服务内容</w:t>
            </w:r>
          </w:p>
        </w:tc>
        <w:tc>
          <w:tcPr>
            <w:tcW w:w="444" w:type="pct"/>
            <w:tcBorders>
              <w:top w:val="single" w:sz="4" w:space="0" w:color="auto"/>
              <w:left w:val="single" w:sz="4" w:space="0" w:color="auto"/>
              <w:right w:val="single" w:sz="4" w:space="0" w:color="auto"/>
            </w:tcBorders>
            <w:shd w:val="clear" w:color="auto" w:fill="EEECE1"/>
            <w:vAlign w:val="center"/>
          </w:tcPr>
          <w:p>
            <w:pPr>
              <w:adjustRightInd w:val="0"/>
              <w:snapToGrid w:val="0"/>
              <w:jc w:val="center"/>
              <w:rPr>
                <w:rFonts w:ascii="宋体"/>
                <w:b/>
                <w:sz w:val="24"/>
              </w:rPr>
            </w:pPr>
            <w:r>
              <w:rPr>
                <w:rFonts w:ascii="宋体" w:hint="eastAsia"/>
                <w:b/>
                <w:sz w:val="24"/>
              </w:rPr>
              <w:t>数量</w:t>
            </w:r>
          </w:p>
        </w:tc>
        <w:tc>
          <w:tcPr>
            <w:tcW w:w="804" w:type="pct"/>
            <w:tcBorders>
              <w:top w:val="single" w:sz="4" w:space="0" w:color="auto"/>
              <w:left w:val="single" w:sz="4" w:space="0" w:color="auto"/>
              <w:right w:val="single" w:sz="4" w:space="0" w:color="auto"/>
            </w:tcBorders>
            <w:shd w:val="clear" w:color="auto" w:fill="EEECE1"/>
            <w:vAlign w:val="center"/>
          </w:tcPr>
          <w:p>
            <w:pPr>
              <w:adjustRightInd w:val="0"/>
              <w:snapToGrid w:val="0"/>
              <w:jc w:val="center"/>
              <w:rPr>
                <w:rFonts w:ascii="宋体"/>
                <w:b/>
                <w:sz w:val="24"/>
              </w:rPr>
            </w:pPr>
            <w:r>
              <w:rPr>
                <w:rFonts w:ascii="宋体" w:hint="eastAsia"/>
                <w:b/>
                <w:sz w:val="24"/>
              </w:rPr>
              <w:t>预算金额（人民币  元）</w:t>
            </w:r>
          </w:p>
        </w:tc>
        <w:tc>
          <w:tcPr>
            <w:tcW w:w="901" w:type="pct"/>
            <w:tcBorders>
              <w:top w:val="single" w:sz="4" w:space="0" w:color="auto"/>
              <w:left w:val="single" w:sz="4" w:space="0" w:color="auto"/>
              <w:right w:val="single" w:sz="4" w:space="0" w:color="auto"/>
            </w:tcBorders>
            <w:shd w:val="clear" w:color="auto" w:fill="EEECE1"/>
            <w:vAlign w:val="center"/>
          </w:tcPr>
          <w:p>
            <w:pPr>
              <w:adjustRightInd w:val="0"/>
              <w:snapToGrid w:val="0"/>
              <w:jc w:val="center"/>
              <w:rPr>
                <w:rFonts w:ascii="宋体"/>
                <w:b/>
                <w:sz w:val="24"/>
              </w:rPr>
            </w:pPr>
            <w:r>
              <w:rPr>
                <w:rFonts w:ascii="宋体" w:hint="eastAsia"/>
                <w:b/>
                <w:sz w:val="24"/>
              </w:rPr>
              <w:t>最高限价</w:t>
            </w:r>
          </w:p>
          <w:p>
            <w:pPr>
              <w:adjustRightInd w:val="0"/>
              <w:snapToGrid w:val="0"/>
              <w:jc w:val="center"/>
              <w:rPr>
                <w:rFonts w:ascii="宋体"/>
                <w:b/>
                <w:sz w:val="24"/>
              </w:rPr>
            </w:pPr>
            <w:r>
              <w:rPr>
                <w:rFonts w:ascii="宋体" w:hint="eastAsia"/>
                <w:b/>
                <w:sz w:val="24"/>
              </w:rPr>
              <w:t>（人民币  元）</w:t>
            </w:r>
          </w:p>
        </w:tc>
        <w:tc>
          <w:tcPr>
            <w:tcW w:w="1045" w:type="pct"/>
            <w:tcBorders>
              <w:top w:val="single" w:sz="4" w:space="0" w:color="auto"/>
              <w:left w:val="single" w:sz="4" w:space="0" w:color="auto"/>
              <w:right w:val="single" w:sz="4" w:space="0" w:color="auto"/>
            </w:tcBorders>
            <w:shd w:val="clear" w:color="auto" w:fill="EEECE1"/>
            <w:vAlign w:val="center"/>
          </w:tcPr>
          <w:p>
            <w:pPr>
              <w:adjustRightInd w:val="0"/>
              <w:snapToGrid w:val="0"/>
              <w:jc w:val="center"/>
              <w:rPr>
                <w:rFonts w:ascii="宋体"/>
                <w:b/>
                <w:sz w:val="24"/>
              </w:rPr>
            </w:pPr>
            <w:r>
              <w:rPr>
                <w:rFonts w:ascii="宋体" w:hint="eastAsia"/>
                <w:b/>
                <w:sz w:val="24"/>
              </w:rPr>
              <w:t>履行期限</w:t>
            </w:r>
          </w:p>
        </w:tc>
        <w:tc>
          <w:tcPr>
            <w:tcW w:w="748" w:type="pct"/>
            <w:tcBorders>
              <w:top w:val="single" w:sz="4" w:space="0" w:color="auto"/>
              <w:left w:val="single" w:sz="4" w:space="0" w:color="auto"/>
              <w:right w:val="single" w:sz="4" w:space="0" w:color="auto"/>
            </w:tcBorders>
            <w:shd w:val="clear" w:color="auto" w:fill="EEECE1"/>
            <w:vAlign w:val="center"/>
          </w:tcPr>
          <w:p>
            <w:pPr>
              <w:adjustRightInd w:val="0"/>
              <w:snapToGrid w:val="0"/>
              <w:jc w:val="center"/>
              <w:rPr>
                <w:rFonts w:ascii="宋体"/>
                <w:b/>
                <w:sz w:val="24"/>
              </w:rPr>
            </w:pPr>
            <w:r>
              <w:rPr>
                <w:rFonts w:ascii="宋体" w:hint="eastAsia"/>
                <w:b/>
                <w:sz w:val="24"/>
              </w:rPr>
              <w:t>所属行业</w:t>
            </w:r>
          </w:p>
        </w:tc>
      </w:tr>
      <w:tr>
        <w:tblPrEx>
          <w:tblW w:w="4995" w:type="pct"/>
          <w:tblInd w:w="0" w:type="dxa"/>
          <w:tblCellMar>
            <w:top w:w="0" w:type="dxa"/>
            <w:left w:w="108" w:type="dxa"/>
            <w:bottom w:w="0" w:type="dxa"/>
            <w:right w:w="108" w:type="dxa"/>
          </w:tblCellMar>
        </w:tblPrEx>
        <w:trPr>
          <w:cantSplit/>
          <w:trHeight w:val="695"/>
        </w:trPr>
        <w:tc>
          <w:tcPr>
            <w:tcW w:w="1055" w:type="pct"/>
            <w:tcBorders>
              <w:left w:val="single" w:sz="4" w:space="0" w:color="auto"/>
              <w:right w:val="single" w:sz="4" w:space="0" w:color="auto"/>
            </w:tcBorders>
            <w:vAlign w:val="center"/>
          </w:tcPr>
          <w:p>
            <w:pPr>
              <w:adjustRightInd w:val="0"/>
              <w:snapToGrid w:val="0"/>
              <w:jc w:val="center"/>
              <w:rPr>
                <w:rFonts w:ascii="宋体"/>
                <w:bCs/>
                <w:color w:val="auto"/>
                <w:sz w:val="24"/>
                <w:highlight w:val="none"/>
              </w:rPr>
            </w:pPr>
            <w:r>
              <w:rPr>
                <w:rFonts w:ascii="宋体" w:hint="eastAsia"/>
                <w:bCs/>
                <w:color w:val="auto"/>
                <w:sz w:val="24"/>
                <w:highlight w:val="none"/>
                <w:lang w:eastAsia="zh-CN"/>
              </w:rPr>
              <w:t>2023-2024年基准年碳核查全流程技术支持服务</w:t>
            </w:r>
          </w:p>
        </w:tc>
        <w:tc>
          <w:tcPr>
            <w:tcW w:w="444" w:type="pct"/>
            <w:tcBorders>
              <w:left w:val="single" w:sz="4" w:space="0" w:color="auto"/>
              <w:right w:val="single" w:sz="4" w:space="0" w:color="auto"/>
            </w:tcBorders>
            <w:vAlign w:val="center"/>
          </w:tcPr>
          <w:p>
            <w:pPr>
              <w:adjustRightInd w:val="0"/>
              <w:snapToGrid w:val="0"/>
              <w:jc w:val="center"/>
              <w:rPr>
                <w:rFonts w:ascii="宋体" w:eastAsia="宋体" w:hint="default"/>
                <w:bCs/>
                <w:color w:val="auto"/>
                <w:sz w:val="24"/>
                <w:highlight w:val="none"/>
                <w:lang w:val="en-US" w:eastAsia="zh-CN"/>
              </w:rPr>
            </w:pPr>
            <w:r>
              <w:rPr>
                <w:rFonts w:ascii="宋体" w:hint="eastAsia"/>
                <w:bCs/>
                <w:color w:val="auto"/>
                <w:sz w:val="24"/>
                <w:highlight w:val="none"/>
                <w:lang w:val="en-US" w:eastAsia="zh-CN"/>
              </w:rPr>
              <w:t>1项</w:t>
            </w:r>
          </w:p>
        </w:tc>
        <w:tc>
          <w:tcPr>
            <w:tcW w:w="804" w:type="pct"/>
            <w:tcBorders>
              <w:left w:val="single" w:sz="4" w:space="0" w:color="auto"/>
              <w:right w:val="single" w:sz="4" w:space="0" w:color="auto"/>
            </w:tcBorders>
            <w:vAlign w:val="center"/>
          </w:tcPr>
          <w:p>
            <w:pPr>
              <w:pStyle w:val="a0"/>
              <w:snapToGrid w:val="0"/>
              <w:spacing w:before="0" w:after="0" w:line="240" w:lineRule="auto"/>
              <w:jc w:val="center"/>
              <w:rPr>
                <w:rFonts w:ascii="宋体" w:hAnsi="宋体"/>
                <w:snapToGrid/>
                <w:color w:val="auto"/>
                <w:spacing w:val="0"/>
                <w:kern w:val="2"/>
                <w:szCs w:val="24"/>
                <w:highlight w:val="none"/>
              </w:rPr>
            </w:pPr>
            <w:r>
              <w:rPr>
                <w:rFonts w:ascii="宋体" w:hAnsi="宋体" w:hint="eastAsia"/>
                <w:snapToGrid/>
                <w:color w:val="auto"/>
                <w:spacing w:val="0"/>
                <w:kern w:val="2"/>
                <w:szCs w:val="24"/>
                <w:highlight w:val="none"/>
              </w:rPr>
              <w:t>2</w:t>
            </w:r>
            <w:r>
              <w:rPr>
                <w:rFonts w:ascii="宋体" w:hAnsi="宋体" w:hint="eastAsia"/>
                <w:snapToGrid/>
                <w:color w:val="auto"/>
                <w:spacing w:val="0"/>
                <w:kern w:val="2"/>
                <w:szCs w:val="24"/>
                <w:highlight w:val="none"/>
                <w:lang w:val="en-US" w:eastAsia="zh-CN"/>
              </w:rPr>
              <w:t>,</w:t>
            </w:r>
            <w:r>
              <w:rPr>
                <w:rFonts w:ascii="宋体" w:hAnsi="宋体" w:hint="eastAsia"/>
                <w:snapToGrid/>
                <w:color w:val="auto"/>
                <w:spacing w:val="0"/>
                <w:kern w:val="2"/>
                <w:szCs w:val="24"/>
                <w:highlight w:val="none"/>
              </w:rPr>
              <w:t>377</w:t>
            </w:r>
            <w:r>
              <w:rPr>
                <w:rFonts w:ascii="宋体" w:hAnsi="宋体" w:hint="eastAsia"/>
                <w:snapToGrid/>
                <w:color w:val="auto"/>
                <w:spacing w:val="0"/>
                <w:kern w:val="2"/>
                <w:szCs w:val="24"/>
                <w:highlight w:val="none"/>
                <w:lang w:val="en-US" w:eastAsia="zh-CN"/>
              </w:rPr>
              <w:t>,</w:t>
            </w:r>
            <w:r>
              <w:rPr>
                <w:rFonts w:ascii="宋体" w:hAnsi="宋体" w:hint="eastAsia"/>
                <w:snapToGrid/>
                <w:color w:val="auto"/>
                <w:spacing w:val="0"/>
                <w:kern w:val="2"/>
                <w:szCs w:val="24"/>
                <w:highlight w:val="none"/>
              </w:rPr>
              <w:t>17</w:t>
            </w:r>
            <w:r>
              <w:rPr>
                <w:rFonts w:ascii="宋体" w:hAnsi="宋体" w:hint="eastAsia"/>
                <w:snapToGrid/>
                <w:color w:val="auto"/>
                <w:spacing w:val="0"/>
                <w:kern w:val="2"/>
                <w:szCs w:val="24"/>
                <w:highlight w:val="none"/>
                <w:lang w:val="en-US" w:eastAsia="zh-CN"/>
              </w:rPr>
              <w:t>0</w:t>
            </w:r>
          </w:p>
        </w:tc>
        <w:tc>
          <w:tcPr>
            <w:tcW w:w="901" w:type="pct"/>
            <w:tcBorders>
              <w:left w:val="single" w:sz="4" w:space="0" w:color="auto"/>
              <w:right w:val="single" w:sz="4" w:space="0" w:color="auto"/>
            </w:tcBorders>
            <w:vAlign w:val="center"/>
          </w:tcPr>
          <w:p>
            <w:pPr>
              <w:pStyle w:val="a0"/>
              <w:snapToGrid w:val="0"/>
              <w:spacing w:before="0" w:after="0" w:line="240" w:lineRule="auto"/>
              <w:jc w:val="center"/>
              <w:rPr>
                <w:rFonts w:ascii="宋体" w:hAnsi="宋体"/>
                <w:snapToGrid/>
                <w:color w:val="auto"/>
                <w:spacing w:val="0"/>
                <w:kern w:val="2"/>
                <w:szCs w:val="24"/>
                <w:highlight w:val="none"/>
              </w:rPr>
            </w:pPr>
            <w:r>
              <w:rPr>
                <w:rFonts w:ascii="宋体" w:hAnsi="宋体" w:hint="eastAsia"/>
                <w:snapToGrid/>
                <w:color w:val="auto"/>
                <w:spacing w:val="0"/>
                <w:kern w:val="2"/>
                <w:szCs w:val="24"/>
                <w:highlight w:val="none"/>
              </w:rPr>
              <w:t>2</w:t>
            </w:r>
            <w:r>
              <w:rPr>
                <w:rFonts w:ascii="宋体" w:hAnsi="宋体" w:hint="eastAsia"/>
                <w:snapToGrid/>
                <w:color w:val="auto"/>
                <w:spacing w:val="0"/>
                <w:kern w:val="2"/>
                <w:szCs w:val="24"/>
                <w:highlight w:val="none"/>
                <w:lang w:val="en-US" w:eastAsia="zh-CN"/>
              </w:rPr>
              <w:t>,</w:t>
            </w:r>
            <w:r>
              <w:rPr>
                <w:rFonts w:ascii="宋体" w:hAnsi="宋体" w:hint="eastAsia"/>
                <w:snapToGrid/>
                <w:color w:val="auto"/>
                <w:spacing w:val="0"/>
                <w:kern w:val="2"/>
                <w:szCs w:val="24"/>
                <w:highlight w:val="none"/>
              </w:rPr>
              <w:t>377</w:t>
            </w:r>
            <w:r>
              <w:rPr>
                <w:rFonts w:ascii="宋体" w:hAnsi="宋体" w:hint="eastAsia"/>
                <w:snapToGrid/>
                <w:color w:val="auto"/>
                <w:spacing w:val="0"/>
                <w:kern w:val="2"/>
                <w:szCs w:val="24"/>
                <w:highlight w:val="none"/>
                <w:lang w:val="en-US" w:eastAsia="zh-CN"/>
              </w:rPr>
              <w:t>,</w:t>
            </w:r>
            <w:r>
              <w:rPr>
                <w:rFonts w:ascii="宋体" w:hAnsi="宋体" w:hint="eastAsia"/>
                <w:snapToGrid/>
                <w:color w:val="auto"/>
                <w:spacing w:val="0"/>
                <w:kern w:val="2"/>
                <w:szCs w:val="24"/>
                <w:highlight w:val="none"/>
              </w:rPr>
              <w:t>17</w:t>
            </w:r>
            <w:r>
              <w:rPr>
                <w:rFonts w:ascii="宋体" w:hAnsi="宋体" w:hint="eastAsia"/>
                <w:snapToGrid/>
                <w:color w:val="auto"/>
                <w:spacing w:val="0"/>
                <w:kern w:val="2"/>
                <w:szCs w:val="24"/>
                <w:highlight w:val="none"/>
                <w:lang w:val="en-US" w:eastAsia="zh-CN"/>
              </w:rPr>
              <w:t>0</w:t>
            </w:r>
          </w:p>
        </w:tc>
        <w:tc>
          <w:tcPr>
            <w:tcW w:w="1045" w:type="pct"/>
            <w:tcBorders>
              <w:left w:val="single" w:sz="4" w:space="0" w:color="auto"/>
              <w:right w:val="single" w:sz="4" w:space="0" w:color="auto"/>
            </w:tcBorders>
            <w:vAlign w:val="center"/>
          </w:tcPr>
          <w:p>
            <w:pPr>
              <w:pStyle w:val="a0"/>
              <w:snapToGrid w:val="0"/>
              <w:spacing w:before="0" w:after="0" w:line="240" w:lineRule="auto"/>
              <w:jc w:val="center"/>
              <w:rPr>
                <w:rFonts w:ascii="宋体" w:hAnsi="宋体" w:eastAsiaTheme="minorEastAsia" w:hint="eastAsia"/>
                <w:snapToGrid/>
                <w:color w:val="auto"/>
                <w:spacing w:val="0"/>
                <w:kern w:val="2"/>
                <w:szCs w:val="24"/>
                <w:highlight w:val="none"/>
                <w:lang w:val="en-US" w:eastAsia="zh-CN"/>
              </w:rPr>
            </w:pPr>
            <w:r>
              <w:rPr>
                <w:rFonts w:asciiTheme="minorEastAsia" w:eastAsiaTheme="minorEastAsia" w:hAnsiTheme="minorEastAsia" w:hint="eastAsia"/>
                <w:color w:val="auto"/>
                <w:sz w:val="24"/>
                <w:highlight w:val="none"/>
              </w:rPr>
              <w:t>本项目服务期自合同签订之日起至2024年9月30日</w:t>
            </w:r>
            <w:r>
              <w:rPr>
                <w:rFonts w:asciiTheme="minorEastAsia" w:eastAsiaTheme="minorEastAsia" w:hAnsiTheme="minorEastAsia" w:hint="eastAsia"/>
                <w:color w:val="auto"/>
                <w:sz w:val="24"/>
                <w:highlight w:val="none"/>
                <w:lang w:eastAsia="zh-CN"/>
              </w:rPr>
              <w:t>。</w:t>
            </w:r>
          </w:p>
        </w:tc>
        <w:tc>
          <w:tcPr>
            <w:tcW w:w="748" w:type="pct"/>
            <w:tcBorders>
              <w:left w:val="single" w:sz="4" w:space="0" w:color="auto"/>
              <w:right w:val="single" w:sz="4" w:space="0" w:color="auto"/>
            </w:tcBorders>
            <w:vAlign w:val="center"/>
          </w:tcPr>
          <w:p>
            <w:pPr>
              <w:pStyle w:val="a0"/>
              <w:snapToGrid w:val="0"/>
              <w:spacing w:before="0" w:after="0" w:line="240" w:lineRule="auto"/>
              <w:jc w:val="center"/>
              <w:rPr>
                <w:rFonts w:asciiTheme="minorEastAsia" w:hAnsiTheme="minorEastAsia"/>
                <w:bCs/>
                <w:color w:val="auto"/>
                <w:szCs w:val="24"/>
                <w:highlight w:val="none"/>
              </w:rPr>
            </w:pPr>
            <w:r>
              <w:rPr>
                <w:rFonts w:asciiTheme="minorEastAsia" w:hAnsiTheme="minorEastAsia" w:hint="eastAsia"/>
                <w:bCs/>
                <w:color w:val="auto"/>
                <w:szCs w:val="24"/>
                <w:highlight w:val="none"/>
              </w:rPr>
              <w:t>其他未列明行业</w:t>
            </w:r>
          </w:p>
        </w:tc>
      </w:tr>
    </w:tbl>
    <w:p>
      <w:pPr>
        <w:pStyle w:val="PlainText"/>
        <w:tabs>
          <w:tab w:val="left" w:pos="420"/>
          <w:tab w:val="left" w:pos="540"/>
        </w:tabs>
        <w:adjustRightInd w:val="0"/>
        <w:snapToGrid w:val="0"/>
        <w:spacing w:line="360" w:lineRule="auto"/>
        <w:rPr>
          <w:rFonts w:asciiTheme="minorEastAsia" w:hAnsiTheme="minorEastAsia"/>
          <w:b/>
          <w:sz w:val="24"/>
          <w:szCs w:val="24"/>
        </w:rPr>
      </w:pPr>
    </w:p>
    <w:p>
      <w:pPr>
        <w:pStyle w:val="PlainText"/>
        <w:numPr>
          <w:ilvl w:val="0"/>
          <w:numId w:val="2"/>
        </w:numPr>
        <w:tabs>
          <w:tab w:val="left" w:pos="540"/>
        </w:tabs>
        <w:adjustRightInd w:val="0"/>
        <w:snapToGrid w:val="0"/>
        <w:spacing w:line="360" w:lineRule="auto"/>
        <w:rPr>
          <w:rFonts w:asciiTheme="minorEastAsia" w:hAnsiTheme="minorEastAsia"/>
          <w:b/>
          <w:sz w:val="24"/>
          <w:szCs w:val="24"/>
        </w:rPr>
      </w:pPr>
      <w:r>
        <w:rPr>
          <w:rFonts w:asciiTheme="minorEastAsia" w:hAnsiTheme="minorEastAsia" w:hint="eastAsia"/>
          <w:b/>
          <w:sz w:val="24"/>
          <w:szCs w:val="24"/>
          <w:lang w:val="en-US" w:eastAsia="zh-CN"/>
        </w:rPr>
        <w:t>具体技术要求</w:t>
      </w:r>
    </w:p>
    <w:p>
      <w:pPr>
        <w:pStyle w:val="ListParagraph"/>
        <w:numPr>
          <w:ilvl w:val="0"/>
          <w:numId w:val="4"/>
        </w:numPr>
        <w:ind w:left="0" w:firstLine="0" w:leftChars="0" w:firstLineChars="0"/>
        <w:rPr>
          <w:rFonts w:ascii="宋体" w:eastAsia="宋体" w:hAnsi="宋体" w:cs="宋体" w:hint="eastAsia"/>
          <w:b/>
          <w:bCs/>
          <w:sz w:val="24"/>
          <w:szCs w:val="24"/>
        </w:rPr>
      </w:pPr>
      <w:r>
        <w:rPr>
          <w:rFonts w:ascii="宋体" w:eastAsia="宋体" w:hAnsi="宋体" w:cs="宋体" w:hint="eastAsia"/>
          <w:b/>
          <w:bCs/>
          <w:sz w:val="24"/>
          <w:szCs w:val="24"/>
        </w:rPr>
        <w:t>服务内容</w:t>
      </w:r>
    </w:p>
    <w:p>
      <w:pPr>
        <w:spacing w:line="360" w:lineRule="auto"/>
        <w:ind w:firstLine="420" w:firstLineChars="200"/>
        <w:rPr>
          <w:rFonts w:ascii="宋体" w:eastAsia="宋体" w:hAnsi="宋体" w:cs="宋体" w:hint="eastAsia"/>
          <w:sz w:val="24"/>
          <w:szCs w:val="24"/>
        </w:rPr>
      </w:pPr>
      <w:r>
        <w:rPr>
          <w:rFonts w:ascii="宋体" w:eastAsia="宋体" w:hAnsi="宋体" w:cs="宋体" w:hint="eastAsia"/>
          <w:sz w:val="24"/>
          <w:szCs w:val="24"/>
        </w:rPr>
        <w:t>为全面高效实施重点排放单位2023-2024年基准年碳排放核查工作，本项目对重点排放单位所属行业实施碳交易管控的可行性进行分析论证，编制配套全流程技术文件模板，组建实时答疑专家组，提出特殊行业碳排放量化核查重难点解决方案，为基准年碳核查工作相关方提供全链条技术支持，并在对碳核查报告进行质量把关的基础上，提出基准年碳核查工作总结及碳市场扩容建议。主要内容包括：</w:t>
      </w:r>
    </w:p>
    <w:p>
      <w:pPr>
        <w:spacing w:line="360" w:lineRule="auto"/>
        <w:ind w:firstLine="420" w:firstLineChars="200"/>
        <w:rPr>
          <w:rFonts w:ascii="宋体" w:eastAsia="宋体" w:hAnsi="宋体" w:cs="宋体" w:hint="eastAsia"/>
          <w:sz w:val="24"/>
          <w:szCs w:val="24"/>
        </w:rPr>
      </w:pPr>
      <w:r>
        <w:rPr>
          <w:rFonts w:ascii="宋体" w:hAnsi="宋体" w:cs="宋体" w:hint="eastAsia"/>
          <w:sz w:val="24"/>
          <w:szCs w:val="24"/>
          <w:lang w:val="en-US" w:eastAsia="zh-CN"/>
        </w:rPr>
        <w:t>1.</w:t>
      </w:r>
      <w:r>
        <w:rPr>
          <w:rFonts w:ascii="宋体" w:eastAsia="宋体" w:hAnsi="宋体" w:cs="宋体" w:hint="eastAsia"/>
          <w:sz w:val="24"/>
          <w:szCs w:val="24"/>
        </w:rPr>
        <w:t>编制基准年碳核查全流程文件模板。</w:t>
      </w:r>
    </w:p>
    <w:p>
      <w:pPr>
        <w:spacing w:line="360" w:lineRule="auto"/>
        <w:ind w:firstLine="420" w:firstLineChars="200"/>
        <w:rPr>
          <w:rFonts w:ascii="宋体" w:eastAsia="宋体" w:hAnsi="宋体" w:cs="宋体" w:hint="eastAsia"/>
          <w:sz w:val="24"/>
          <w:szCs w:val="24"/>
        </w:rPr>
      </w:pPr>
      <w:r>
        <w:rPr>
          <w:rFonts w:ascii="宋体" w:eastAsia="宋体" w:hAnsi="宋体" w:cs="宋体" w:hint="eastAsia"/>
          <w:sz w:val="24"/>
          <w:szCs w:val="24"/>
        </w:rPr>
        <w:t>收集国内外典型碳交易城市相关文件模板，结合深圳基准年碳核查工作需求及企业行业特点，编制覆盖数据统计表格、核查报告、特殊情况说明、核查信息确认书、数据承诺函、检查记录表等全流程文件模板，并结合意见反馈情况进行修改。召开基准年碳核查项目启动会，对相关核查机构、企业及区级政府部门进行培训讲解。</w:t>
      </w:r>
    </w:p>
    <w:p>
      <w:pPr>
        <w:spacing w:line="360" w:lineRule="auto"/>
        <w:ind w:firstLine="420" w:firstLineChars="200"/>
        <w:rPr>
          <w:rFonts w:ascii="宋体" w:eastAsia="宋体" w:hAnsi="宋体" w:cs="宋体" w:hint="eastAsia"/>
          <w:sz w:val="24"/>
          <w:szCs w:val="24"/>
        </w:rPr>
      </w:pPr>
      <w:r>
        <w:rPr>
          <w:rFonts w:ascii="宋体" w:hAnsi="宋体" w:cs="宋体" w:hint="eastAsia"/>
          <w:sz w:val="24"/>
          <w:szCs w:val="24"/>
          <w:lang w:val="en-US" w:eastAsia="zh-CN"/>
        </w:rPr>
        <w:t>2.</w:t>
      </w:r>
      <w:r>
        <w:rPr>
          <w:rFonts w:ascii="宋体" w:eastAsia="宋体" w:hAnsi="宋体" w:cs="宋体" w:hint="eastAsia"/>
          <w:sz w:val="24"/>
          <w:szCs w:val="24"/>
        </w:rPr>
        <w:t>明确各行业量化核查技术重难点解决方案。</w:t>
      </w:r>
    </w:p>
    <w:p>
      <w:pPr>
        <w:spacing w:line="360" w:lineRule="auto"/>
        <w:ind w:firstLine="420" w:firstLineChars="200"/>
        <w:rPr>
          <w:rFonts w:ascii="宋体" w:eastAsia="宋体" w:hAnsi="宋体" w:cs="宋体" w:hint="eastAsia"/>
          <w:sz w:val="24"/>
          <w:szCs w:val="24"/>
        </w:rPr>
      </w:pPr>
      <w:r>
        <w:rPr>
          <w:rFonts w:ascii="宋体" w:eastAsia="宋体" w:hAnsi="宋体" w:cs="宋体" w:hint="eastAsia"/>
          <w:sz w:val="24"/>
          <w:szCs w:val="24"/>
        </w:rPr>
        <w:t>梳理各行业量化核查技术重难点，召开特殊行业技术重难点研讨会，明确各行业量化核查过程中重难点问题的具体解决方案，并根据意见反馈情况及实时核查情况进行修改调整。</w:t>
      </w:r>
    </w:p>
    <w:p>
      <w:pPr>
        <w:spacing w:line="360" w:lineRule="auto"/>
        <w:ind w:firstLine="420" w:firstLineChars="200"/>
        <w:rPr>
          <w:rFonts w:ascii="宋体" w:eastAsia="宋体" w:hAnsi="宋体" w:cs="宋体" w:hint="eastAsia"/>
          <w:sz w:val="24"/>
          <w:szCs w:val="24"/>
        </w:rPr>
      </w:pPr>
      <w:r>
        <w:rPr>
          <w:rFonts w:ascii="宋体" w:hAnsi="宋体" w:cs="宋体" w:hint="eastAsia"/>
          <w:sz w:val="24"/>
          <w:szCs w:val="24"/>
          <w:lang w:val="en-US" w:eastAsia="zh-CN"/>
        </w:rPr>
        <w:t>3.</w:t>
      </w:r>
      <w:r>
        <w:rPr>
          <w:rFonts w:ascii="宋体" w:eastAsia="宋体" w:hAnsi="宋体" w:cs="宋体" w:hint="eastAsia"/>
          <w:sz w:val="24"/>
          <w:szCs w:val="24"/>
        </w:rPr>
        <w:t>碳核查全流程实时答疑及问题汇总。</w:t>
      </w:r>
    </w:p>
    <w:p>
      <w:pPr>
        <w:spacing w:line="360" w:lineRule="auto"/>
        <w:ind w:firstLine="420" w:firstLineChars="200"/>
        <w:rPr>
          <w:rFonts w:ascii="宋体" w:eastAsia="宋体" w:hAnsi="宋体" w:cs="宋体" w:hint="eastAsia"/>
          <w:sz w:val="24"/>
          <w:szCs w:val="24"/>
        </w:rPr>
      </w:pPr>
      <w:r>
        <w:rPr>
          <w:rFonts w:ascii="宋体" w:eastAsia="宋体" w:hAnsi="宋体" w:cs="宋体" w:hint="eastAsia"/>
          <w:sz w:val="24"/>
          <w:szCs w:val="24"/>
        </w:rPr>
        <w:t>协调组建实时答疑工作组，对核查机构实施企业基准年碳核查过程中的技术问题和管理难点进行实时回应，确保碳核查工作顺利实施，并记录汇总关键问题，召开核查问题反馈总结会。</w:t>
      </w:r>
    </w:p>
    <w:p>
      <w:pPr>
        <w:spacing w:line="360" w:lineRule="auto"/>
        <w:ind w:firstLine="420" w:firstLineChars="200"/>
        <w:rPr>
          <w:rFonts w:ascii="宋体" w:eastAsia="宋体" w:hAnsi="宋体" w:cs="宋体" w:hint="eastAsia"/>
          <w:sz w:val="24"/>
          <w:szCs w:val="24"/>
        </w:rPr>
      </w:pPr>
      <w:r>
        <w:rPr>
          <w:rFonts w:ascii="宋体" w:hAnsi="宋体" w:cs="宋体" w:hint="eastAsia"/>
          <w:sz w:val="24"/>
          <w:szCs w:val="24"/>
          <w:lang w:val="en-US" w:eastAsia="zh-CN"/>
        </w:rPr>
        <w:t>4.碳核查全流程文件技术评议</w:t>
      </w:r>
      <w:r>
        <w:rPr>
          <w:rFonts w:ascii="宋体" w:eastAsia="宋体" w:hAnsi="宋体" w:cs="宋体" w:hint="eastAsia"/>
          <w:sz w:val="24"/>
          <w:szCs w:val="24"/>
        </w:rPr>
        <w:t>。</w:t>
      </w:r>
    </w:p>
    <w:p>
      <w:pPr>
        <w:spacing w:line="360" w:lineRule="auto"/>
        <w:ind w:firstLine="420" w:firstLineChars="200"/>
        <w:rPr>
          <w:rFonts w:ascii="宋体" w:eastAsia="宋体" w:hAnsi="宋体" w:cs="宋体" w:hint="eastAsia"/>
          <w:sz w:val="24"/>
          <w:szCs w:val="24"/>
        </w:rPr>
      </w:pPr>
      <w:r>
        <w:rPr>
          <w:rFonts w:ascii="宋体" w:eastAsia="宋体" w:hAnsi="宋体" w:cs="宋体" w:hint="eastAsia"/>
          <w:sz w:val="24"/>
          <w:szCs w:val="24"/>
        </w:rPr>
        <w:t>对历史基准碳核查项目提交的所有碳核查全流程文件（涉及约1500家企业）进行技术评议，确认碳核查成果资料的完整性、规范性和准确性，汇总碳排放数据、经营范围、所属行业、经营地址、联系方式等信息。对于有疑问的报告，对接相应核查机构进行确认，指导其修改完善，并形成修改过程记录、确认需现场复核企业名单。</w:t>
      </w:r>
    </w:p>
    <w:p>
      <w:pPr>
        <w:spacing w:line="360" w:lineRule="auto"/>
        <w:ind w:firstLine="420" w:firstLineChars="200"/>
        <w:rPr>
          <w:rFonts w:ascii="宋体" w:eastAsia="宋体" w:hAnsi="宋体" w:cs="宋体" w:hint="eastAsia"/>
          <w:sz w:val="24"/>
          <w:szCs w:val="24"/>
        </w:rPr>
      </w:pPr>
      <w:r>
        <w:rPr>
          <w:rFonts w:ascii="宋体" w:hAnsi="宋体" w:cs="宋体" w:hint="eastAsia"/>
          <w:sz w:val="24"/>
          <w:szCs w:val="24"/>
          <w:lang w:val="en-US" w:eastAsia="zh-CN"/>
        </w:rPr>
        <w:t>5.</w:t>
      </w:r>
      <w:r>
        <w:rPr>
          <w:rFonts w:ascii="宋体" w:eastAsia="宋体" w:hAnsi="宋体" w:cs="宋体" w:hint="eastAsia"/>
          <w:sz w:val="24"/>
          <w:szCs w:val="24"/>
        </w:rPr>
        <w:t>重点问题报告企业现场复核。</w:t>
      </w:r>
    </w:p>
    <w:p>
      <w:pPr>
        <w:spacing w:line="360" w:lineRule="auto"/>
        <w:ind w:firstLine="420" w:firstLineChars="200"/>
        <w:rPr>
          <w:rFonts w:ascii="宋体" w:eastAsia="宋体" w:hAnsi="宋体" w:cs="宋体" w:hint="eastAsia"/>
          <w:sz w:val="24"/>
          <w:szCs w:val="24"/>
        </w:rPr>
      </w:pPr>
      <w:r>
        <w:rPr>
          <w:rFonts w:ascii="宋体" w:eastAsia="宋体" w:hAnsi="宋体" w:cs="宋体" w:hint="eastAsia"/>
          <w:sz w:val="24"/>
          <w:szCs w:val="24"/>
        </w:rPr>
        <w:t>对文件审核中发现难以核实数据问题的企业进行现场复核，确认组织边界、运行边界及数据收集的完整性和准确性。</w:t>
      </w:r>
    </w:p>
    <w:p>
      <w:pPr>
        <w:spacing w:line="360" w:lineRule="auto"/>
        <w:ind w:firstLine="420" w:firstLineChars="200"/>
        <w:rPr>
          <w:rFonts w:ascii="宋体" w:eastAsia="宋体" w:hAnsi="宋体" w:cs="宋体" w:hint="eastAsia"/>
          <w:sz w:val="24"/>
          <w:szCs w:val="24"/>
        </w:rPr>
      </w:pPr>
      <w:r>
        <w:rPr>
          <w:rFonts w:ascii="宋体" w:hAnsi="宋体" w:cs="宋体" w:hint="eastAsia"/>
          <w:sz w:val="24"/>
          <w:szCs w:val="24"/>
          <w:lang w:val="en-US" w:eastAsia="zh-CN"/>
        </w:rPr>
        <w:t>6.</w:t>
      </w:r>
      <w:r>
        <w:rPr>
          <w:rFonts w:ascii="宋体" w:eastAsia="宋体" w:hAnsi="宋体" w:cs="宋体" w:hint="eastAsia"/>
          <w:sz w:val="24"/>
          <w:szCs w:val="24"/>
        </w:rPr>
        <w:t>全流程工作归纳总结及报告编制。</w:t>
      </w:r>
    </w:p>
    <w:p>
      <w:pPr>
        <w:spacing w:line="360" w:lineRule="auto"/>
        <w:ind w:firstLine="420" w:firstLineChars="200"/>
        <w:rPr>
          <w:rFonts w:ascii="宋体" w:eastAsia="宋体" w:hAnsi="宋体" w:cs="宋体" w:hint="eastAsia"/>
          <w:sz w:val="24"/>
          <w:szCs w:val="24"/>
        </w:rPr>
      </w:pPr>
      <w:r>
        <w:rPr>
          <w:rFonts w:ascii="宋体" w:eastAsia="宋体" w:hAnsi="宋体" w:cs="宋体" w:hint="eastAsia"/>
          <w:sz w:val="24"/>
          <w:szCs w:val="24"/>
        </w:rPr>
        <w:t>召开审查结果研讨会，对碳核查全流程技术支持工作进行归纳总结，梳理总结基准年碳核查工作推进过程中存在的重难点问题，对未来实施基准年碳核查工作提出工作建议，对重点排放单位的实际扩容工作提出技术建议。</w:t>
      </w:r>
    </w:p>
    <w:p>
      <w:pPr>
        <w:pStyle w:val="ListParagraph"/>
        <w:numPr>
          <w:ilvl w:val="0"/>
          <w:numId w:val="4"/>
        </w:numPr>
        <w:spacing w:line="360" w:lineRule="auto"/>
        <w:ind w:left="0" w:firstLine="0" w:leftChars="0" w:firstLineChars="0"/>
        <w:rPr>
          <w:rFonts w:ascii="宋体" w:eastAsia="宋体" w:hAnsi="宋体" w:cs="宋体" w:hint="eastAsia"/>
          <w:b/>
          <w:bCs/>
          <w:sz w:val="24"/>
          <w:szCs w:val="24"/>
        </w:rPr>
      </w:pPr>
      <w:r>
        <w:rPr>
          <w:rFonts w:ascii="宋体" w:eastAsia="宋体" w:hAnsi="宋体" w:cs="宋体" w:hint="eastAsia"/>
          <w:b/>
          <w:bCs/>
          <w:sz w:val="24"/>
          <w:szCs w:val="24"/>
        </w:rPr>
        <w:t>提交成果</w:t>
      </w:r>
    </w:p>
    <w:p>
      <w:pPr>
        <w:spacing w:line="360" w:lineRule="auto"/>
        <w:ind w:firstLine="420" w:firstLineChars="200"/>
        <w:rPr>
          <w:rFonts w:ascii="宋体" w:eastAsia="宋体" w:hAnsi="宋体" w:cs="宋体" w:hint="eastAsia"/>
          <w:sz w:val="24"/>
          <w:szCs w:val="24"/>
        </w:rPr>
      </w:pPr>
      <w:r>
        <w:rPr>
          <w:rFonts w:ascii="宋体" w:eastAsia="宋体" w:hAnsi="宋体" w:cs="宋体" w:hint="eastAsia"/>
          <w:sz w:val="24"/>
          <w:szCs w:val="24"/>
        </w:rPr>
        <w:t>提交给采购人的项目成果主要包含以下内容：</w:t>
      </w:r>
    </w:p>
    <w:p>
      <w:pPr>
        <w:tabs>
          <w:tab w:val="left" w:pos="2100"/>
        </w:tabs>
        <w:spacing w:line="360" w:lineRule="auto"/>
        <w:ind w:firstLine="420" w:firstLineChars="200"/>
        <w:rPr>
          <w:rFonts w:ascii="宋体" w:eastAsia="宋体" w:hAnsi="宋体" w:cs="宋体" w:hint="eastAsia"/>
          <w:sz w:val="24"/>
          <w:szCs w:val="24"/>
        </w:rPr>
      </w:pPr>
      <w:r>
        <w:rPr>
          <w:rFonts w:ascii="宋体" w:hAnsi="宋体" w:cs="宋体" w:hint="eastAsia"/>
          <w:sz w:val="24"/>
          <w:szCs w:val="24"/>
          <w:lang w:val="en-US" w:eastAsia="zh-CN"/>
        </w:rPr>
        <w:t>1.</w:t>
      </w:r>
      <w:r>
        <w:rPr>
          <w:rFonts w:ascii="宋体" w:eastAsia="宋体" w:hAnsi="宋体" w:cs="宋体" w:hint="eastAsia"/>
          <w:sz w:val="24"/>
          <w:szCs w:val="24"/>
        </w:rPr>
        <w:t>《深圳市2023-2024年基准年碳核查全流程文件模板》；</w:t>
      </w:r>
    </w:p>
    <w:p>
      <w:pPr>
        <w:spacing w:line="360" w:lineRule="auto"/>
        <w:ind w:firstLine="420" w:firstLineChars="200"/>
        <w:rPr>
          <w:rFonts w:ascii="宋体" w:eastAsia="宋体" w:hAnsi="宋体" w:cs="宋体" w:hint="eastAsia"/>
          <w:sz w:val="24"/>
          <w:szCs w:val="24"/>
        </w:rPr>
      </w:pPr>
      <w:r>
        <w:rPr>
          <w:rFonts w:ascii="宋体" w:hAnsi="宋体" w:cs="宋体" w:hint="eastAsia"/>
          <w:sz w:val="24"/>
          <w:szCs w:val="24"/>
          <w:lang w:val="en-US" w:eastAsia="zh-CN"/>
        </w:rPr>
        <w:t>2.</w:t>
      </w:r>
      <w:r>
        <w:rPr>
          <w:rFonts w:ascii="宋体" w:eastAsia="宋体" w:hAnsi="宋体" w:cs="宋体" w:hint="eastAsia"/>
          <w:sz w:val="24"/>
          <w:szCs w:val="24"/>
        </w:rPr>
        <w:t>《深圳市2023-2024年基准年碳核查量化核查技术问题解决方案》；</w:t>
      </w:r>
    </w:p>
    <w:p>
      <w:pPr>
        <w:spacing w:line="360" w:lineRule="auto"/>
        <w:ind w:firstLine="420" w:firstLineChars="200"/>
        <w:rPr>
          <w:rFonts w:ascii="宋体" w:eastAsia="宋体" w:hAnsi="宋体" w:cs="宋体" w:hint="eastAsia"/>
          <w:sz w:val="24"/>
          <w:szCs w:val="24"/>
        </w:rPr>
      </w:pPr>
      <w:r>
        <w:rPr>
          <w:rFonts w:ascii="宋体" w:hAnsi="宋体" w:cs="宋体" w:hint="eastAsia"/>
          <w:sz w:val="24"/>
          <w:szCs w:val="24"/>
          <w:lang w:val="en-US" w:eastAsia="zh-CN"/>
        </w:rPr>
        <w:t>3.</w:t>
      </w:r>
      <w:r>
        <w:rPr>
          <w:rFonts w:ascii="宋体" w:eastAsia="宋体" w:hAnsi="宋体" w:cs="宋体" w:hint="eastAsia"/>
          <w:sz w:val="24"/>
          <w:szCs w:val="24"/>
        </w:rPr>
        <w:t>《深圳市2023-2024年基准年碳核查质量把关全流程记录表》；</w:t>
      </w:r>
    </w:p>
    <w:p>
      <w:pPr>
        <w:spacing w:line="360" w:lineRule="auto"/>
        <w:ind w:firstLine="420" w:firstLineChars="200"/>
        <w:rPr>
          <w:rFonts w:ascii="宋体" w:eastAsia="宋体" w:hAnsi="宋体" w:cs="宋体" w:hint="eastAsia"/>
          <w:sz w:val="24"/>
          <w:szCs w:val="24"/>
        </w:rPr>
      </w:pPr>
      <w:r>
        <w:rPr>
          <w:rFonts w:ascii="宋体" w:hAnsi="宋体" w:cs="宋体" w:hint="eastAsia"/>
          <w:sz w:val="24"/>
          <w:szCs w:val="24"/>
          <w:lang w:val="en-US" w:eastAsia="zh-CN"/>
        </w:rPr>
        <w:t>4.</w:t>
      </w:r>
      <w:r>
        <w:rPr>
          <w:rFonts w:ascii="宋体" w:eastAsia="宋体" w:hAnsi="宋体" w:cs="宋体" w:hint="eastAsia"/>
          <w:sz w:val="24"/>
          <w:szCs w:val="24"/>
        </w:rPr>
        <w:t>《深圳市2023-2024年基准年碳核查重点问题报告企业现场复核报告》；</w:t>
      </w:r>
    </w:p>
    <w:p>
      <w:pPr>
        <w:spacing w:line="360" w:lineRule="auto"/>
        <w:ind w:firstLine="420" w:firstLineChars="200"/>
        <w:rPr>
          <w:rFonts w:ascii="宋体" w:eastAsia="宋体" w:hAnsi="宋体" w:cs="宋体" w:hint="eastAsia"/>
          <w:sz w:val="24"/>
          <w:szCs w:val="24"/>
        </w:rPr>
      </w:pPr>
      <w:r>
        <w:rPr>
          <w:rFonts w:ascii="宋体" w:hAnsi="宋体" w:cs="宋体" w:hint="eastAsia"/>
          <w:sz w:val="24"/>
          <w:szCs w:val="24"/>
          <w:lang w:val="en-US" w:eastAsia="zh-CN"/>
        </w:rPr>
        <w:t>5.</w:t>
      </w:r>
      <w:r>
        <w:rPr>
          <w:rFonts w:ascii="宋体" w:eastAsia="宋体" w:hAnsi="宋体" w:cs="宋体" w:hint="eastAsia"/>
          <w:sz w:val="24"/>
          <w:szCs w:val="24"/>
        </w:rPr>
        <w:t>深圳市2023-2024年基准年碳核查全流程技术支持总结报告》。</w:t>
      </w:r>
    </w:p>
    <w:p>
      <w:pPr>
        <w:pStyle w:val="ListParagraph"/>
        <w:numPr>
          <w:ilvl w:val="0"/>
          <w:numId w:val="4"/>
        </w:numPr>
        <w:spacing w:line="360" w:lineRule="auto"/>
        <w:ind w:left="0" w:firstLine="0" w:leftChars="0" w:firstLineChars="0"/>
        <w:rPr>
          <w:rFonts w:ascii="宋体" w:eastAsia="宋体" w:hAnsi="宋体" w:cs="宋体" w:hint="eastAsia"/>
          <w:b/>
          <w:bCs/>
          <w:sz w:val="24"/>
          <w:szCs w:val="24"/>
        </w:rPr>
      </w:pPr>
      <w:r>
        <w:rPr>
          <w:rFonts w:ascii="宋体" w:eastAsia="宋体" w:hAnsi="宋体" w:cs="宋体" w:hint="eastAsia"/>
          <w:b/>
          <w:bCs/>
          <w:sz w:val="24"/>
          <w:szCs w:val="24"/>
        </w:rPr>
        <w:t>人员要求</w:t>
      </w:r>
    </w:p>
    <w:p>
      <w:pPr>
        <w:spacing w:line="360" w:lineRule="auto"/>
        <w:ind w:firstLine="420" w:firstLineChars="200"/>
        <w:rPr>
          <w:rFonts w:ascii="宋体" w:eastAsia="宋体" w:hAnsi="宋体" w:cs="宋体" w:hint="eastAsia"/>
          <w:sz w:val="24"/>
          <w:szCs w:val="24"/>
        </w:rPr>
      </w:pPr>
      <w:r>
        <w:rPr>
          <w:rFonts w:ascii="宋体" w:eastAsia="宋体" w:hAnsi="宋体" w:cs="宋体" w:hint="eastAsia"/>
          <w:sz w:val="24"/>
          <w:szCs w:val="24"/>
        </w:rPr>
        <w:t>中标人应委派具有温室气体方法学编制和实际温室气体排放量化核查能力及经验的专业人员开展工作，不得随意更改本项目负责人和团队成员的配置；若因客观条件限制确需调整人员配置的，应及时向采购人提出书面申请，经采购人同意后在5个工作日内以同等资质或以上的人员进行替换。</w:t>
      </w:r>
    </w:p>
    <w:p>
      <w:pPr>
        <w:pStyle w:val="ListParagraph"/>
        <w:numPr>
          <w:ilvl w:val="0"/>
          <w:numId w:val="4"/>
        </w:numPr>
        <w:spacing w:line="360" w:lineRule="auto"/>
        <w:ind w:left="0" w:firstLine="0" w:leftChars="0" w:firstLineChars="0"/>
        <w:rPr>
          <w:rFonts w:ascii="宋体" w:eastAsia="宋体" w:hAnsi="宋体" w:cs="宋体" w:hint="eastAsia"/>
          <w:b/>
          <w:bCs/>
          <w:sz w:val="24"/>
          <w:szCs w:val="24"/>
        </w:rPr>
      </w:pPr>
      <w:r>
        <w:rPr>
          <w:rFonts w:ascii="宋体" w:eastAsia="宋体" w:hAnsi="宋体" w:cs="宋体" w:hint="eastAsia"/>
          <w:b/>
          <w:bCs/>
          <w:sz w:val="24"/>
          <w:szCs w:val="24"/>
        </w:rPr>
        <w:t>项目拟使用的车辆、场地、工具、机器等要求</w:t>
      </w:r>
    </w:p>
    <w:p>
      <w:pPr>
        <w:pStyle w:val="ListParagraph"/>
        <w:spacing w:line="360" w:lineRule="auto"/>
        <w:rPr>
          <w:rFonts w:ascii="宋体" w:eastAsia="宋体" w:hAnsi="宋体" w:cs="宋体" w:hint="eastAsia"/>
          <w:b/>
          <w:bCs/>
          <w:sz w:val="24"/>
          <w:szCs w:val="24"/>
        </w:rPr>
      </w:pPr>
      <w:r>
        <w:rPr>
          <w:rFonts w:ascii="宋体" w:eastAsia="宋体" w:hAnsi="宋体" w:cs="宋体" w:hint="eastAsia"/>
          <w:sz w:val="24"/>
          <w:szCs w:val="24"/>
        </w:rPr>
        <w:t>提供不少于4台（含4台）车辆，用于赴现场沟通检查。</w:t>
      </w:r>
    </w:p>
    <w:p>
      <w:pPr>
        <w:pStyle w:val="ListParagraph"/>
        <w:numPr>
          <w:ilvl w:val="0"/>
          <w:numId w:val="4"/>
        </w:numPr>
        <w:spacing w:line="360" w:lineRule="auto"/>
        <w:ind w:left="0" w:firstLine="0" w:leftChars="0" w:firstLineChars="0"/>
        <w:rPr>
          <w:rFonts w:ascii="宋体" w:eastAsia="宋体" w:hAnsi="宋体" w:cs="宋体" w:hint="eastAsia"/>
          <w:b/>
          <w:bCs/>
          <w:sz w:val="24"/>
          <w:szCs w:val="24"/>
        </w:rPr>
      </w:pPr>
      <w:r>
        <w:rPr>
          <w:rFonts w:ascii="宋体" w:eastAsia="宋体" w:hAnsi="宋体" w:cs="宋体" w:hint="eastAsia"/>
          <w:b/>
          <w:bCs/>
          <w:sz w:val="24"/>
          <w:szCs w:val="24"/>
        </w:rPr>
        <w:t>验收要求</w:t>
      </w:r>
    </w:p>
    <w:p>
      <w:pPr>
        <w:pStyle w:val="PlainText"/>
        <w:tabs>
          <w:tab w:val="left" w:pos="420"/>
          <w:tab w:val="left" w:pos="540"/>
        </w:tabs>
        <w:adjustRightInd w:val="0"/>
        <w:snapToGrid w:val="0"/>
        <w:spacing w:line="360" w:lineRule="auto"/>
        <w:ind w:left="420"/>
        <w:rPr>
          <w:rFonts w:asciiTheme="minorEastAsia" w:hAnsiTheme="minorEastAsia"/>
          <w:b/>
          <w:color w:val="00B0F0"/>
          <w:sz w:val="24"/>
          <w:szCs w:val="24"/>
        </w:rPr>
      </w:pPr>
      <w:bookmarkStart w:id="72" w:name="_Hlk13849306"/>
      <w:r>
        <w:rPr>
          <w:rFonts w:ascii="宋体" w:eastAsia="宋体" w:hAnsi="宋体" w:cs="宋体" w:hint="eastAsia"/>
          <w:sz w:val="24"/>
          <w:szCs w:val="24"/>
        </w:rPr>
        <w:t>项目成果质量获得采购人认可，并通过专家评审验收</w:t>
      </w:r>
      <w:bookmarkEnd w:id="72"/>
      <w:r>
        <w:rPr>
          <w:rFonts w:ascii="宋体" w:eastAsia="宋体" w:hAnsi="宋体" w:cs="宋体" w:hint="eastAsia"/>
          <w:sz w:val="24"/>
          <w:szCs w:val="24"/>
        </w:rPr>
        <w:t>。</w:t>
      </w:r>
    </w:p>
    <w:p>
      <w:pPr>
        <w:pStyle w:val="PlainText"/>
        <w:numPr>
          <w:ilvl w:val="0"/>
          <w:numId w:val="2"/>
        </w:numPr>
        <w:tabs>
          <w:tab w:val="left" w:pos="540"/>
        </w:tabs>
        <w:adjustRightInd w:val="0"/>
        <w:snapToGrid w:val="0"/>
        <w:spacing w:line="360" w:lineRule="auto"/>
        <w:rPr>
          <w:rFonts w:asciiTheme="minorEastAsia" w:hAnsiTheme="minorEastAsia" w:cs="宋体"/>
          <w:b/>
          <w:kern w:val="0"/>
          <w:sz w:val="24"/>
          <w:szCs w:val="24"/>
        </w:rPr>
      </w:pPr>
      <w:r>
        <w:rPr>
          <w:rFonts w:asciiTheme="minorEastAsia" w:hAnsiTheme="minorEastAsia" w:cs="宋体" w:hint="eastAsia"/>
          <w:b/>
          <w:kern w:val="0"/>
          <w:sz w:val="24"/>
          <w:szCs w:val="24"/>
          <w:lang w:val="en-US" w:eastAsia="zh-CN"/>
        </w:rPr>
        <w:t>商务</w:t>
      </w:r>
      <w:r>
        <w:rPr>
          <w:rFonts w:asciiTheme="minorEastAsia" w:hAnsiTheme="minorEastAsia" w:cs="宋体" w:hint="eastAsia"/>
          <w:b/>
          <w:kern w:val="0"/>
          <w:sz w:val="24"/>
          <w:szCs w:val="24"/>
        </w:rPr>
        <w:t>要求</w:t>
      </w:r>
    </w:p>
    <w:p>
      <w:pPr>
        <w:numPr>
          <w:ilvl w:val="0"/>
          <w:numId w:val="5"/>
        </w:numPr>
        <w:tabs>
          <w:tab w:val="left" w:pos="540"/>
        </w:tabs>
        <w:adjustRightInd w:val="0"/>
        <w:snapToGrid w:val="0"/>
        <w:spacing w:line="360" w:lineRule="auto"/>
        <w:ind w:left="0" w:firstLine="0" w:leftChars="0" w:firstLineChars="0"/>
        <w:rPr>
          <w:rFonts w:ascii="宋体" w:eastAsia="宋体" w:hAnsi="宋体" w:cs="宋体" w:hint="eastAsia"/>
          <w:b/>
          <w:bCs/>
          <w:color w:val="000000"/>
          <w:kern w:val="0"/>
          <w:sz w:val="24"/>
          <w:szCs w:val="24"/>
        </w:rPr>
      </w:pPr>
      <w:bookmarkStart w:id="73" w:name="_Toc13067019"/>
      <w:bookmarkStart w:id="74" w:name="_Toc13067017"/>
      <w:bookmarkStart w:id="75" w:name="_Toc13067022"/>
      <w:r>
        <w:rPr>
          <w:rFonts w:ascii="宋体" w:eastAsia="宋体" w:hAnsi="宋体" w:cs="宋体" w:hint="eastAsia"/>
          <w:b/>
          <w:bCs/>
          <w:color w:val="000000"/>
          <w:sz w:val="24"/>
          <w:szCs w:val="24"/>
        </w:rPr>
        <w:t>★</w:t>
      </w:r>
      <w:r>
        <w:rPr>
          <w:rFonts w:ascii="宋体" w:eastAsia="宋体" w:hAnsi="宋体" w:cs="宋体" w:hint="eastAsia"/>
          <w:b/>
          <w:bCs/>
          <w:color w:val="000000"/>
          <w:kern w:val="0"/>
          <w:sz w:val="24"/>
          <w:szCs w:val="24"/>
        </w:rPr>
        <w:t>报价要求</w:t>
      </w:r>
    </w:p>
    <w:p>
      <w:pPr>
        <w:widowControl/>
        <w:adjustRightInd w:val="0"/>
        <w:snapToGrid w:val="0"/>
        <w:spacing w:line="360" w:lineRule="auto"/>
        <w:ind w:firstLine="420" w:firstLineChars="200"/>
        <w:outlineLvl w:val="9"/>
        <w:rPr>
          <w:rFonts w:ascii="宋体" w:eastAsia="宋体" w:hAnsi="宋体" w:cs="宋体" w:hint="eastAsia"/>
          <w:color w:val="000000"/>
          <w:sz w:val="24"/>
          <w:szCs w:val="24"/>
        </w:rPr>
      </w:pPr>
      <w:r>
        <w:rPr>
          <w:rFonts w:ascii="宋体" w:eastAsia="宋体" w:hAnsi="宋体" w:cs="宋体" w:hint="eastAsia"/>
          <w:color w:val="000000"/>
          <w:sz w:val="24"/>
          <w:szCs w:val="24"/>
        </w:rPr>
        <w:t>1</w:t>
      </w:r>
      <w:r>
        <w:rPr>
          <w:rFonts w:ascii="宋体" w:hAnsi="宋体" w:cs="宋体" w:hint="eastAsia"/>
          <w:color w:val="000000"/>
          <w:sz w:val="24"/>
          <w:szCs w:val="24"/>
          <w:lang w:val="en-US" w:eastAsia="zh-CN"/>
        </w:rPr>
        <w:t>.</w:t>
      </w:r>
      <w:r>
        <w:rPr>
          <w:rFonts w:ascii="宋体" w:eastAsia="宋体" w:hAnsi="宋体" w:cs="宋体" w:hint="eastAsia"/>
          <w:color w:val="000000"/>
          <w:sz w:val="24"/>
          <w:szCs w:val="24"/>
        </w:rPr>
        <w:t>投标人应根据本企业的成本自行决定报价，但不得以低于其企业成本的报价投标；评标时，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widowControl/>
        <w:adjustRightInd w:val="0"/>
        <w:snapToGrid w:val="0"/>
        <w:spacing w:line="360" w:lineRule="auto"/>
        <w:ind w:firstLine="420" w:firstLineChars="200"/>
        <w:outlineLvl w:val="9"/>
        <w:rPr>
          <w:rFonts w:ascii="宋体" w:eastAsia="宋体" w:hAnsi="宋体" w:cs="宋体" w:hint="eastAsia"/>
          <w:color w:val="000000"/>
          <w:sz w:val="24"/>
          <w:szCs w:val="24"/>
        </w:rPr>
      </w:pPr>
      <w:r>
        <w:rPr>
          <w:rFonts w:ascii="宋体" w:eastAsia="宋体" w:hAnsi="宋体" w:cs="宋体" w:hint="eastAsia"/>
          <w:color w:val="000000"/>
          <w:sz w:val="24"/>
          <w:szCs w:val="24"/>
        </w:rPr>
        <w:t>2</w:t>
      </w:r>
      <w:r>
        <w:rPr>
          <w:rFonts w:ascii="宋体" w:hAnsi="宋体" w:cs="宋体" w:hint="eastAsia"/>
          <w:color w:val="000000"/>
          <w:sz w:val="24"/>
          <w:szCs w:val="24"/>
          <w:lang w:val="en-US" w:eastAsia="zh-CN"/>
        </w:rPr>
        <w:t>.</w:t>
      </w:r>
      <w:r>
        <w:rPr>
          <w:rFonts w:ascii="宋体" w:eastAsia="宋体" w:hAnsi="宋体" w:cs="宋体" w:hint="eastAsia"/>
          <w:color w:val="000000"/>
          <w:sz w:val="24"/>
          <w:szCs w:val="24"/>
        </w:rPr>
        <w:t>投标人的投标报价，应是本项目招标范围和招标文件及合同条款上所列的各项内容中所述的全部，不得以任何理由予以重复，并以投标人在投标文件中提出的综合单价或总价为依据。</w:t>
      </w:r>
    </w:p>
    <w:p>
      <w:pPr>
        <w:widowControl/>
        <w:adjustRightInd w:val="0"/>
        <w:snapToGrid w:val="0"/>
        <w:spacing w:line="360" w:lineRule="auto"/>
        <w:ind w:firstLine="420" w:firstLineChars="200"/>
        <w:outlineLvl w:val="9"/>
        <w:rPr>
          <w:rFonts w:ascii="宋体" w:eastAsia="宋体" w:hAnsi="宋体" w:cs="宋体" w:hint="eastAsia"/>
          <w:color w:val="000000"/>
          <w:sz w:val="24"/>
          <w:szCs w:val="24"/>
        </w:rPr>
      </w:pPr>
      <w:r>
        <w:rPr>
          <w:rFonts w:ascii="宋体" w:eastAsia="宋体" w:hAnsi="宋体" w:cs="宋体" w:hint="eastAsia"/>
          <w:color w:val="000000"/>
          <w:sz w:val="24"/>
          <w:szCs w:val="24"/>
        </w:rPr>
        <w:t>3</w:t>
      </w:r>
      <w:r>
        <w:rPr>
          <w:rFonts w:ascii="宋体" w:hAnsi="宋体" w:cs="宋体" w:hint="eastAsia"/>
          <w:color w:val="000000"/>
          <w:sz w:val="24"/>
          <w:szCs w:val="24"/>
          <w:lang w:val="en-US" w:eastAsia="zh-CN"/>
        </w:rPr>
        <w:t>.</w:t>
      </w:r>
      <w:r>
        <w:rPr>
          <w:rFonts w:ascii="宋体" w:eastAsia="宋体" w:hAnsi="宋体" w:cs="宋体" w:hint="eastAsia"/>
          <w:color w:val="000000"/>
          <w:sz w:val="24"/>
          <w:szCs w:val="24"/>
        </w:rPr>
        <w:t>除非采购人或采购代理机构通过修改招标文件予以更正，否则，投标人应毫无例外地按招标文件所列的清单中项目和数量填报综合单价或总价。投标人未填综合单价或总价的项目，在实施后，将不得以支付，并视作该项费用已包括在其它有价款的综合单价或总价内。</w:t>
      </w:r>
    </w:p>
    <w:p>
      <w:pPr>
        <w:widowControl/>
        <w:adjustRightInd w:val="0"/>
        <w:snapToGrid w:val="0"/>
        <w:spacing w:line="360" w:lineRule="auto"/>
        <w:ind w:firstLine="420" w:firstLineChars="200"/>
        <w:outlineLvl w:val="9"/>
        <w:rPr>
          <w:rFonts w:ascii="宋体" w:eastAsia="宋体" w:hAnsi="宋体" w:cs="宋体" w:hint="eastAsia"/>
          <w:color w:val="000000"/>
          <w:sz w:val="24"/>
          <w:szCs w:val="24"/>
        </w:rPr>
      </w:pPr>
      <w:r>
        <w:rPr>
          <w:rFonts w:ascii="宋体" w:eastAsia="宋体" w:hAnsi="宋体" w:cs="宋体" w:hint="eastAsia"/>
          <w:color w:val="000000"/>
          <w:sz w:val="24"/>
          <w:szCs w:val="24"/>
        </w:rPr>
        <w:t>4</w:t>
      </w:r>
      <w:r>
        <w:rPr>
          <w:rFonts w:ascii="宋体" w:hAnsi="宋体" w:cs="宋体" w:hint="eastAsia"/>
          <w:color w:val="000000"/>
          <w:sz w:val="24"/>
          <w:szCs w:val="24"/>
          <w:lang w:val="en-US" w:eastAsia="zh-CN"/>
        </w:rPr>
        <w:t>.</w:t>
      </w:r>
      <w:r>
        <w:rPr>
          <w:rFonts w:ascii="宋体" w:eastAsia="宋体" w:hAnsi="宋体" w:cs="宋体" w:hint="eastAsia"/>
          <w:color w:val="000000"/>
          <w:sz w:val="24"/>
          <w:szCs w:val="24"/>
        </w:rPr>
        <w:t>投标人不得期望通过索赔等方式获取补偿，否则，除可能遭到拒绝外，还可能将被作为不良行为记录在案，并可能影响其以后参加政府采购的项目投标。各投标人在投标报价时，应充分考虑投标报价的风险。</w:t>
      </w:r>
    </w:p>
    <w:p>
      <w:pPr>
        <w:adjustRightInd w:val="0"/>
        <w:snapToGrid w:val="0"/>
        <w:spacing w:line="360" w:lineRule="auto"/>
        <w:ind w:firstLine="420" w:firstLineChars="200"/>
        <w:rPr>
          <w:rFonts w:ascii="宋体" w:eastAsia="宋体" w:hAnsi="宋体" w:cs="宋体" w:hint="eastAsia"/>
          <w:color w:val="000000"/>
          <w:sz w:val="24"/>
          <w:szCs w:val="24"/>
        </w:rPr>
      </w:pPr>
      <w:r>
        <w:rPr>
          <w:rFonts w:ascii="宋体" w:eastAsia="宋体" w:hAnsi="宋体" w:cs="宋体" w:hint="eastAsia"/>
          <w:color w:val="000000"/>
          <w:sz w:val="24"/>
          <w:szCs w:val="24"/>
        </w:rPr>
        <w:t>5</w:t>
      </w:r>
      <w:r>
        <w:rPr>
          <w:rFonts w:ascii="宋体" w:hAnsi="宋体" w:cs="宋体" w:hint="eastAsia"/>
          <w:color w:val="000000"/>
          <w:sz w:val="24"/>
          <w:szCs w:val="24"/>
          <w:lang w:val="en-US" w:eastAsia="zh-CN"/>
        </w:rPr>
        <w:t>.</w:t>
      </w:r>
      <w:r>
        <w:rPr>
          <w:rFonts w:ascii="宋体" w:eastAsia="宋体" w:hAnsi="宋体" w:cs="宋体" w:hint="eastAsia"/>
          <w:color w:val="000000"/>
          <w:sz w:val="24"/>
          <w:szCs w:val="24"/>
        </w:rPr>
        <w:t xml:space="preserve">投标人须考虑本项目在实施期间的一切可能产生的费用。在项目实施过程中，如项目工作范围发生变更，由中标人和采购人双方协商解决；其余情况下，投标总价均不予调整。  </w:t>
      </w:r>
    </w:p>
    <w:p>
      <w:pPr>
        <w:numPr>
          <w:ilvl w:val="0"/>
          <w:numId w:val="5"/>
        </w:numPr>
        <w:tabs>
          <w:tab w:val="left" w:pos="540"/>
        </w:tabs>
        <w:adjustRightInd w:val="0"/>
        <w:snapToGrid w:val="0"/>
        <w:spacing w:line="360" w:lineRule="auto"/>
        <w:ind w:left="0" w:firstLine="0" w:leftChars="0" w:firstLineChars="0"/>
        <w:rPr>
          <w:rFonts w:ascii="宋体" w:eastAsia="宋体" w:hAnsi="宋体" w:cs="宋体" w:hint="eastAsia"/>
          <w:b/>
          <w:bCs/>
          <w:color w:val="000000"/>
          <w:sz w:val="24"/>
          <w:szCs w:val="24"/>
        </w:rPr>
      </w:pPr>
      <w:r>
        <w:rPr>
          <w:rFonts w:ascii="宋体" w:eastAsia="宋体" w:hAnsi="宋体" w:cs="宋体" w:hint="eastAsia"/>
          <w:b/>
          <w:bCs/>
          <w:color w:val="000000"/>
          <w:sz w:val="24"/>
          <w:szCs w:val="24"/>
        </w:rPr>
        <w:t>★支付要求</w:t>
      </w:r>
    </w:p>
    <w:p>
      <w:pPr>
        <w:tabs>
          <w:tab w:val="left" w:pos="540"/>
        </w:tabs>
        <w:adjustRightInd w:val="0"/>
        <w:snapToGrid w:val="0"/>
        <w:spacing w:line="360" w:lineRule="auto"/>
        <w:ind w:left="0" w:firstLine="420" w:firstLineChars="200"/>
        <w:rPr>
          <w:rFonts w:ascii="宋体" w:eastAsia="宋体" w:hAnsi="宋体" w:cs="宋体" w:hint="eastAsia"/>
          <w:sz w:val="24"/>
          <w:szCs w:val="24"/>
        </w:rPr>
      </w:pPr>
      <w:r>
        <w:rPr>
          <w:rFonts w:ascii="宋体" w:eastAsia="宋体" w:hAnsi="宋体" w:cs="宋体" w:hint="eastAsia"/>
          <w:sz w:val="24"/>
          <w:szCs w:val="24"/>
        </w:rPr>
        <w:t>在合同签订且收到发票后15日内，采购人支付合同总价的50%；项目指标全部完成后，采购人在收到中标人验收申请后7日内组织履约验收；验收通过后，采购人在收到发票后15日内支付合同总价的50%。</w:t>
      </w:r>
    </w:p>
    <w:p>
      <w:pPr>
        <w:numPr>
          <w:ilvl w:val="0"/>
          <w:numId w:val="5"/>
        </w:numPr>
        <w:tabs>
          <w:tab w:val="left" w:pos="540"/>
        </w:tabs>
        <w:adjustRightInd w:val="0"/>
        <w:snapToGrid w:val="0"/>
        <w:spacing w:line="360" w:lineRule="auto"/>
        <w:ind w:left="0" w:firstLine="0" w:leftChars="0" w:firstLineChars="0"/>
        <w:rPr>
          <w:rFonts w:ascii="宋体" w:eastAsia="宋体" w:hAnsi="宋体" w:cs="宋体" w:hint="eastAsia"/>
          <w:b/>
          <w:bCs/>
          <w:color w:val="000000"/>
          <w:sz w:val="24"/>
          <w:szCs w:val="24"/>
        </w:rPr>
      </w:pPr>
      <w:r>
        <w:rPr>
          <w:rFonts w:ascii="宋体" w:eastAsia="宋体" w:hAnsi="宋体" w:cs="宋体" w:hint="eastAsia"/>
          <w:b/>
          <w:bCs/>
          <w:color w:val="000000"/>
          <w:sz w:val="24"/>
          <w:szCs w:val="24"/>
        </w:rPr>
        <w:t>★合同服务期限</w:t>
      </w:r>
    </w:p>
    <w:p>
      <w:pPr>
        <w:adjustRightInd w:val="0"/>
        <w:snapToGrid w:val="0"/>
        <w:spacing w:line="360" w:lineRule="auto"/>
        <w:ind w:firstLine="420" w:firstLineChars="200"/>
        <w:rPr>
          <w:rFonts w:ascii="宋体" w:eastAsia="宋体" w:hAnsi="宋体" w:cs="宋体" w:hint="eastAsia"/>
          <w:sz w:val="24"/>
          <w:szCs w:val="24"/>
        </w:rPr>
      </w:pPr>
      <w:r>
        <w:rPr>
          <w:rFonts w:ascii="宋体" w:eastAsia="宋体" w:hAnsi="宋体" w:cs="宋体" w:hint="eastAsia"/>
          <w:color w:val="000000"/>
          <w:sz w:val="24"/>
          <w:szCs w:val="24"/>
        </w:rPr>
        <w:t>项目服务期</w:t>
      </w:r>
      <w:r>
        <w:rPr>
          <w:rFonts w:ascii="宋体" w:eastAsia="宋体" w:hAnsi="宋体" w:cs="宋体" w:hint="eastAsia"/>
          <w:sz w:val="24"/>
          <w:szCs w:val="24"/>
        </w:rPr>
        <w:t>限：本项目服务期自合同签订之日起至2024年9月30日。</w:t>
      </w:r>
    </w:p>
    <w:p>
      <w:pPr>
        <w:numPr>
          <w:ilvl w:val="0"/>
          <w:numId w:val="5"/>
        </w:numPr>
        <w:tabs>
          <w:tab w:val="left" w:pos="540"/>
        </w:tabs>
        <w:adjustRightInd w:val="0"/>
        <w:snapToGrid w:val="0"/>
        <w:spacing w:line="360" w:lineRule="auto"/>
        <w:ind w:left="0" w:firstLine="0" w:leftChars="0" w:firstLineChars="0"/>
        <w:rPr>
          <w:rFonts w:ascii="宋体" w:eastAsia="宋体" w:hAnsi="宋体" w:cs="宋体" w:hint="eastAsia"/>
          <w:b/>
          <w:bCs/>
          <w:color w:val="000000"/>
          <w:sz w:val="24"/>
          <w:szCs w:val="24"/>
        </w:rPr>
      </w:pPr>
      <w:r>
        <w:rPr>
          <w:rFonts w:ascii="宋体" w:eastAsia="宋体" w:hAnsi="宋体" w:cs="宋体" w:hint="eastAsia"/>
          <w:b/>
          <w:bCs/>
          <w:color w:val="000000"/>
          <w:sz w:val="24"/>
          <w:szCs w:val="24"/>
        </w:rPr>
        <w:t>★项目进度安排</w:t>
      </w:r>
    </w:p>
    <w:p>
      <w:pPr>
        <w:spacing w:line="360" w:lineRule="auto"/>
        <w:ind w:firstLine="420" w:firstLineChars="200"/>
        <w:rPr>
          <w:rFonts w:ascii="宋体" w:eastAsia="宋体" w:hAnsi="宋体" w:cs="宋体" w:hint="eastAsia"/>
          <w:sz w:val="24"/>
          <w:szCs w:val="24"/>
        </w:rPr>
      </w:pPr>
      <w:r>
        <w:rPr>
          <w:rFonts w:ascii="宋体" w:eastAsia="宋体" w:hAnsi="宋体" w:cs="宋体" w:hint="eastAsia"/>
          <w:sz w:val="24"/>
          <w:szCs w:val="24"/>
        </w:rPr>
        <w:t>项目中标确认后15个工作日内完成项目实施的准备工作，中标人提交基准年碳核查全流程技术支持工作计划，明确技术支持人员名单、任务分工等；按照采购方的招标技术及时间要求，安排项目进度，完成目标任务。</w:t>
      </w:r>
    </w:p>
    <w:p>
      <w:pPr>
        <w:numPr>
          <w:ilvl w:val="0"/>
          <w:numId w:val="5"/>
        </w:numPr>
        <w:tabs>
          <w:tab w:val="left" w:pos="540"/>
        </w:tabs>
        <w:adjustRightInd w:val="0"/>
        <w:snapToGrid w:val="0"/>
        <w:spacing w:line="360" w:lineRule="auto"/>
        <w:ind w:left="0" w:firstLine="0" w:leftChars="0" w:firstLineChars="0"/>
        <w:rPr>
          <w:rFonts w:ascii="宋体" w:eastAsia="宋体" w:hAnsi="宋体" w:cs="宋体" w:hint="eastAsia"/>
          <w:b/>
          <w:color w:val="000000"/>
          <w:sz w:val="24"/>
          <w:szCs w:val="24"/>
        </w:rPr>
      </w:pPr>
      <w:r>
        <w:rPr>
          <w:rFonts w:ascii="宋体" w:eastAsia="宋体" w:hAnsi="宋体" w:cs="宋体" w:hint="eastAsia"/>
          <w:b/>
          <w:bCs/>
          <w:color w:val="000000"/>
          <w:sz w:val="24"/>
          <w:szCs w:val="24"/>
        </w:rPr>
        <w:t>★</w:t>
      </w:r>
      <w:r>
        <w:rPr>
          <w:rFonts w:ascii="宋体" w:eastAsia="宋体" w:hAnsi="宋体" w:cs="宋体" w:hint="eastAsia"/>
          <w:b/>
          <w:color w:val="000000"/>
          <w:sz w:val="24"/>
          <w:szCs w:val="24"/>
        </w:rPr>
        <w:t>保密要求</w:t>
      </w:r>
    </w:p>
    <w:p>
      <w:pPr>
        <w:adjustRightInd w:val="0"/>
        <w:snapToGrid w:val="0"/>
        <w:spacing w:line="360" w:lineRule="auto"/>
        <w:ind w:firstLine="420" w:firstLineChars="200"/>
        <w:rPr>
          <w:rFonts w:ascii="宋体" w:eastAsia="宋体" w:hAnsi="宋体" w:cs="宋体" w:hint="eastAsia"/>
          <w:color w:val="000000"/>
          <w:sz w:val="24"/>
          <w:szCs w:val="24"/>
        </w:rPr>
      </w:pPr>
      <w:r>
        <w:rPr>
          <w:rFonts w:ascii="宋体" w:eastAsia="宋体" w:hAnsi="宋体" w:cs="宋体" w:hint="eastAsia"/>
          <w:color w:val="000000"/>
          <w:sz w:val="24"/>
          <w:szCs w:val="24"/>
        </w:rPr>
        <w:t>由采购人收集的、开发的、整理的、复制的、研究的和准备的与本合同项下工作有关的所有资料在提供给中标人时，均被视为保密的，不得泄漏给除采购人或其指定的代表之外的任何人、企业或公司，不管本合同因何种原因终止，本条款一直约束中标人；中标人在履行合同过程中所获得或接触到的任何内部数据资料，未经采购人同意，不得向第三方透露；中标人实施项目的一切程序都应符合国家安全、保密的有关规定和招标文件、中标人投标文件，国家和行业有关规范、规程和标准。</w:t>
      </w:r>
    </w:p>
    <w:p>
      <w:pPr>
        <w:numPr>
          <w:ilvl w:val="0"/>
          <w:numId w:val="5"/>
        </w:numPr>
        <w:tabs>
          <w:tab w:val="left" w:pos="540"/>
        </w:tabs>
        <w:adjustRightInd w:val="0"/>
        <w:snapToGrid w:val="0"/>
        <w:spacing w:line="360" w:lineRule="auto"/>
        <w:ind w:left="0" w:firstLine="0" w:leftChars="0" w:firstLineChars="0"/>
        <w:rPr>
          <w:rFonts w:ascii="宋体" w:eastAsia="宋体" w:hAnsi="宋体" w:cs="宋体" w:hint="eastAsia"/>
          <w:b/>
          <w:bCs/>
          <w:color w:val="000000"/>
          <w:sz w:val="24"/>
          <w:szCs w:val="24"/>
        </w:rPr>
      </w:pPr>
      <w:r>
        <w:rPr>
          <w:rFonts w:ascii="宋体" w:eastAsia="宋体" w:hAnsi="宋体" w:cs="宋体" w:hint="eastAsia"/>
          <w:b/>
          <w:bCs/>
          <w:color w:val="000000"/>
          <w:sz w:val="24"/>
          <w:szCs w:val="24"/>
        </w:rPr>
        <w:t>★售后服务要求</w:t>
      </w:r>
    </w:p>
    <w:p>
      <w:pPr>
        <w:adjustRightInd w:val="0"/>
        <w:snapToGrid w:val="0"/>
        <w:spacing w:line="360" w:lineRule="auto"/>
        <w:ind w:firstLine="420" w:firstLineChars="200"/>
        <w:rPr>
          <w:rFonts w:ascii="宋体" w:eastAsia="宋体" w:hAnsi="宋体" w:cs="宋体" w:hint="eastAsia"/>
          <w:kern w:val="0"/>
          <w:sz w:val="24"/>
          <w:szCs w:val="24"/>
        </w:rPr>
      </w:pPr>
      <w:r>
        <w:rPr>
          <w:rFonts w:ascii="宋体" w:eastAsia="宋体" w:hAnsi="宋体" w:cs="宋体" w:hint="eastAsia"/>
          <w:kern w:val="0"/>
          <w:sz w:val="24"/>
          <w:szCs w:val="24"/>
        </w:rPr>
        <w:t>售后服务期为支付合同尾款后的12个月，在售后服务期限内提供数据更新、报告修改、相关咨询、协调和项目审查等技术支持。</w:t>
      </w:r>
    </w:p>
    <w:p>
      <w:pPr>
        <w:numPr>
          <w:ilvl w:val="0"/>
          <w:numId w:val="5"/>
        </w:numPr>
        <w:tabs>
          <w:tab w:val="left" w:pos="540"/>
        </w:tabs>
        <w:adjustRightInd w:val="0"/>
        <w:snapToGrid w:val="0"/>
        <w:spacing w:line="360" w:lineRule="auto"/>
        <w:ind w:left="0" w:firstLine="0" w:leftChars="0" w:firstLineChars="0"/>
        <w:rPr>
          <w:rFonts w:ascii="宋体" w:eastAsia="宋体" w:hAnsi="宋体" w:cs="宋体" w:hint="eastAsia"/>
          <w:b/>
          <w:bCs/>
          <w:kern w:val="0"/>
          <w:sz w:val="24"/>
          <w:szCs w:val="24"/>
        </w:rPr>
      </w:pPr>
      <w:r>
        <w:rPr>
          <w:rFonts w:ascii="宋体" w:eastAsia="宋体" w:hAnsi="宋体" w:cs="宋体" w:hint="eastAsia"/>
          <w:b/>
          <w:bCs/>
          <w:color w:val="000000"/>
          <w:sz w:val="24"/>
          <w:szCs w:val="24"/>
        </w:rPr>
        <w:t>★违约责任</w:t>
      </w:r>
      <w:r>
        <w:rPr>
          <w:rFonts w:ascii="宋体" w:eastAsia="宋体" w:hAnsi="宋体" w:cs="宋体" w:hint="eastAsia"/>
          <w:b/>
          <w:bCs/>
          <w:color w:val="000000"/>
          <w:sz w:val="24"/>
          <w:szCs w:val="24"/>
        </w:rPr>
        <w:tab/>
      </w:r>
    </w:p>
    <w:p>
      <w:pPr>
        <w:tabs>
          <w:tab w:val="left" w:pos="540"/>
        </w:tabs>
        <w:adjustRightInd w:val="0"/>
        <w:snapToGrid w:val="0"/>
        <w:spacing w:line="360" w:lineRule="auto"/>
        <w:ind w:firstLine="420" w:firstLineChars="200"/>
        <w:rPr>
          <w:rFonts w:ascii="宋体" w:eastAsia="宋体" w:hAnsi="宋体" w:cs="宋体" w:hint="eastAsia"/>
          <w:sz w:val="24"/>
          <w:szCs w:val="24"/>
        </w:rPr>
      </w:pPr>
      <w:r>
        <w:rPr>
          <w:rFonts w:ascii="宋体" w:eastAsia="宋体" w:hAnsi="宋体" w:cs="宋体" w:hint="eastAsia"/>
          <w:kern w:val="0"/>
          <w:sz w:val="24"/>
          <w:szCs w:val="24"/>
        </w:rPr>
        <w:t>因中标人原因，未能按规定时间完成有关工作的，每延误一天，采购人可在支付合同余款中扣除合同价款千分之一；如中标人提供的技术服务文件不符合质量要求，必须在采购人提出要求后7个工作日内无条件修改，其费用由中标人承担。</w:t>
      </w:r>
    </w:p>
    <w:p>
      <w:pPr>
        <w:numPr>
          <w:ilvl w:val="0"/>
          <w:numId w:val="5"/>
        </w:numPr>
        <w:tabs>
          <w:tab w:val="left" w:pos="540"/>
        </w:tabs>
        <w:adjustRightInd w:val="0"/>
        <w:snapToGrid w:val="0"/>
        <w:spacing w:line="360" w:lineRule="auto"/>
        <w:ind w:left="0" w:firstLine="0" w:leftChars="0" w:firstLineChars="0"/>
        <w:rPr>
          <w:rFonts w:ascii="宋体" w:eastAsia="宋体" w:hAnsi="宋体" w:cs="宋体" w:hint="eastAsia"/>
          <w:b/>
          <w:bCs/>
          <w:color w:val="000000"/>
          <w:sz w:val="24"/>
          <w:szCs w:val="24"/>
        </w:rPr>
      </w:pPr>
      <w:r>
        <w:rPr>
          <w:rFonts w:ascii="宋体" w:eastAsia="宋体" w:hAnsi="宋体" w:cs="宋体" w:hint="eastAsia"/>
          <w:b/>
          <w:bCs/>
          <w:color w:val="000000"/>
          <w:sz w:val="24"/>
          <w:szCs w:val="24"/>
        </w:rPr>
        <w:t>合同的变更</w:t>
      </w:r>
    </w:p>
    <w:p>
      <w:pPr>
        <w:numPr>
          <w:ilvl w:val="0"/>
          <w:numId w:val="6"/>
        </w:numPr>
        <w:adjustRightInd w:val="0"/>
        <w:snapToGrid w:val="0"/>
        <w:spacing w:line="360" w:lineRule="auto"/>
        <w:ind w:left="425" w:hanging="425" w:leftChars="0" w:firstLineChars="0"/>
        <w:rPr>
          <w:rFonts w:ascii="宋体" w:eastAsia="宋体" w:hAnsi="宋体" w:cs="宋体" w:hint="eastAsia"/>
          <w:kern w:val="0"/>
          <w:sz w:val="24"/>
          <w:szCs w:val="24"/>
        </w:rPr>
      </w:pPr>
      <w:r>
        <w:rPr>
          <w:rFonts w:ascii="宋体" w:eastAsia="宋体" w:hAnsi="宋体" w:cs="宋体" w:hint="eastAsia"/>
          <w:kern w:val="0"/>
          <w:sz w:val="24"/>
          <w:szCs w:val="24"/>
        </w:rPr>
        <w:t>在合同履行过程中，采购人、中标人双方可就合同履行的时间、地点和方式等协商进行变更。协商一致后，双方应签订书面的补充协议。</w:t>
      </w:r>
    </w:p>
    <w:p>
      <w:pPr>
        <w:numPr>
          <w:ilvl w:val="0"/>
          <w:numId w:val="6"/>
        </w:numPr>
        <w:adjustRightInd w:val="0"/>
        <w:snapToGrid w:val="0"/>
        <w:spacing w:line="360" w:lineRule="auto"/>
        <w:ind w:left="425" w:hanging="425" w:leftChars="0" w:firstLineChars="0"/>
        <w:rPr>
          <w:rFonts w:ascii="宋体" w:eastAsia="宋体" w:hAnsi="宋体" w:cs="宋体" w:hint="eastAsia"/>
          <w:kern w:val="0"/>
          <w:sz w:val="24"/>
          <w:szCs w:val="24"/>
        </w:rPr>
      </w:pPr>
      <w:r>
        <w:rPr>
          <w:rFonts w:ascii="宋体" w:eastAsia="宋体" w:hAnsi="宋体" w:cs="宋体" w:hint="eastAsia"/>
          <w:kern w:val="0"/>
          <w:sz w:val="24"/>
          <w:szCs w:val="24"/>
        </w:rPr>
        <w:t>在不改变合同其他条款的前提下，采购人有权在合同价款改变正负百分之十的范围内追加或减少与合同标的相同的货物或服务，并就此与中标人签订补充合同，中标人不得拒绝。</w:t>
      </w:r>
    </w:p>
    <w:p>
      <w:pPr>
        <w:numPr>
          <w:ilvl w:val="0"/>
          <w:numId w:val="6"/>
        </w:numPr>
        <w:adjustRightInd w:val="0"/>
        <w:snapToGrid w:val="0"/>
        <w:spacing w:line="360" w:lineRule="auto"/>
        <w:ind w:left="425" w:hanging="425" w:leftChars="0" w:firstLineChars="0"/>
        <w:rPr>
          <w:rFonts w:ascii="宋体" w:eastAsia="宋体" w:hAnsi="宋体" w:cs="宋体" w:hint="eastAsia"/>
          <w:kern w:val="0"/>
          <w:sz w:val="24"/>
          <w:szCs w:val="24"/>
        </w:rPr>
      </w:pPr>
      <w:r>
        <w:rPr>
          <w:rFonts w:ascii="宋体" w:eastAsia="宋体" w:hAnsi="宋体" w:cs="宋体" w:hint="eastAsia"/>
          <w:kern w:val="0"/>
          <w:sz w:val="24"/>
          <w:szCs w:val="24"/>
        </w:rPr>
        <w:t>除了双方签署书面协议，并成为合同不可分割的一部分之外，合同条件不得有任何变更。</w:t>
      </w:r>
    </w:p>
    <w:p>
      <w:pPr>
        <w:numPr>
          <w:ilvl w:val="0"/>
          <w:numId w:val="5"/>
        </w:numPr>
        <w:tabs>
          <w:tab w:val="left" w:pos="540"/>
        </w:tabs>
        <w:adjustRightInd w:val="0"/>
        <w:snapToGrid w:val="0"/>
        <w:spacing w:line="360" w:lineRule="auto"/>
        <w:ind w:left="0" w:firstLine="0" w:leftChars="0" w:firstLineChars="0"/>
        <w:rPr>
          <w:rFonts w:ascii="宋体" w:eastAsia="宋体" w:hAnsi="宋体" w:cs="宋体" w:hint="eastAsia"/>
          <w:b/>
          <w:bCs/>
          <w:color w:val="000000"/>
          <w:sz w:val="24"/>
          <w:szCs w:val="24"/>
        </w:rPr>
      </w:pPr>
      <w:r>
        <w:rPr>
          <w:rFonts w:ascii="宋体" w:eastAsia="宋体" w:hAnsi="宋体" w:cs="宋体" w:hint="eastAsia"/>
          <w:b/>
          <w:bCs/>
          <w:color w:val="000000"/>
          <w:sz w:val="24"/>
          <w:szCs w:val="24"/>
        </w:rPr>
        <w:t>合同转让和分包</w:t>
      </w:r>
    </w:p>
    <w:p>
      <w:pPr>
        <w:numPr>
          <w:ilvl w:val="0"/>
          <w:numId w:val="7"/>
        </w:numPr>
        <w:adjustRightInd w:val="0"/>
        <w:snapToGrid w:val="0"/>
        <w:spacing w:line="360" w:lineRule="auto"/>
        <w:ind w:left="425" w:hanging="425" w:leftChars="0" w:firstLineChars="0"/>
        <w:rPr>
          <w:rFonts w:ascii="宋体" w:eastAsia="宋体" w:hAnsi="宋体" w:cs="宋体" w:hint="eastAsia"/>
          <w:kern w:val="0"/>
          <w:sz w:val="24"/>
          <w:szCs w:val="24"/>
        </w:rPr>
      </w:pPr>
      <w:r>
        <w:rPr>
          <w:rFonts w:ascii="宋体" w:eastAsia="宋体" w:hAnsi="宋体" w:cs="宋体" w:hint="eastAsia"/>
          <w:kern w:val="0"/>
          <w:sz w:val="24"/>
          <w:szCs w:val="24"/>
        </w:rPr>
        <w:t>中标人不得以任何形式部分或全部转让其应履行的合同义务。</w:t>
      </w:r>
    </w:p>
    <w:p>
      <w:pPr>
        <w:numPr>
          <w:ilvl w:val="0"/>
          <w:numId w:val="7"/>
        </w:numPr>
        <w:adjustRightInd w:val="0"/>
        <w:snapToGrid w:val="0"/>
        <w:spacing w:line="360" w:lineRule="auto"/>
        <w:ind w:left="425" w:hanging="425" w:leftChars="0" w:firstLineChars="0"/>
        <w:rPr>
          <w:rFonts w:ascii="宋体" w:eastAsia="宋体" w:hAnsi="宋体" w:cs="宋体" w:hint="eastAsia"/>
          <w:kern w:val="0"/>
          <w:sz w:val="24"/>
          <w:szCs w:val="24"/>
        </w:rPr>
      </w:pPr>
      <w:r>
        <w:rPr>
          <w:rFonts w:ascii="宋体" w:eastAsia="宋体" w:hAnsi="宋体" w:cs="宋体" w:hint="eastAsia"/>
          <w:kern w:val="0"/>
          <w:sz w:val="24"/>
          <w:szCs w:val="24"/>
        </w:rPr>
        <w:t>除非在投标文件中提出的分包项目和建议的分包人，中标人不得采用分包方式履行合同。</w:t>
      </w:r>
    </w:p>
    <w:p>
      <w:pPr>
        <w:numPr>
          <w:ilvl w:val="0"/>
          <w:numId w:val="7"/>
        </w:numPr>
        <w:adjustRightInd w:val="0"/>
        <w:snapToGrid w:val="0"/>
        <w:spacing w:line="360" w:lineRule="auto"/>
        <w:ind w:left="425" w:hanging="425" w:leftChars="0" w:firstLineChars="0"/>
        <w:rPr>
          <w:rFonts w:ascii="宋体" w:eastAsia="宋体" w:hAnsi="宋体" w:cs="宋体" w:hint="eastAsia"/>
          <w:kern w:val="0"/>
          <w:sz w:val="24"/>
          <w:szCs w:val="24"/>
        </w:rPr>
      </w:pPr>
      <w:r>
        <w:rPr>
          <w:rFonts w:ascii="宋体" w:eastAsia="宋体" w:hAnsi="宋体" w:cs="宋体" w:hint="eastAsia"/>
          <w:kern w:val="0"/>
          <w:sz w:val="24"/>
          <w:szCs w:val="24"/>
        </w:rPr>
        <w:t>在合同实施过程中，除非中标人违约，采购人不得指定分包人。</w:t>
      </w:r>
    </w:p>
    <w:p>
      <w:pPr>
        <w:numPr>
          <w:ilvl w:val="0"/>
          <w:numId w:val="5"/>
        </w:numPr>
        <w:tabs>
          <w:tab w:val="left" w:pos="540"/>
        </w:tabs>
        <w:adjustRightInd w:val="0"/>
        <w:snapToGrid w:val="0"/>
        <w:spacing w:line="360" w:lineRule="auto"/>
        <w:ind w:left="0" w:firstLine="0" w:leftChars="0" w:firstLineChars="0"/>
        <w:rPr>
          <w:rFonts w:ascii="宋体" w:eastAsia="宋体" w:hAnsi="宋体" w:cs="宋体" w:hint="eastAsia"/>
          <w:b/>
          <w:bCs/>
          <w:color w:val="000000"/>
          <w:sz w:val="24"/>
          <w:szCs w:val="24"/>
        </w:rPr>
      </w:pPr>
      <w:r>
        <w:rPr>
          <w:rFonts w:ascii="宋体" w:eastAsia="宋体" w:hAnsi="宋体" w:cs="宋体" w:hint="eastAsia"/>
          <w:b/>
          <w:bCs/>
          <w:color w:val="000000"/>
          <w:sz w:val="24"/>
          <w:szCs w:val="24"/>
        </w:rPr>
        <w:t>解决争议的方法</w:t>
      </w:r>
      <w:r>
        <w:rPr>
          <w:rFonts w:ascii="宋体" w:eastAsia="宋体" w:hAnsi="宋体" w:cs="宋体" w:hint="eastAsia"/>
          <w:b/>
          <w:bCs/>
          <w:color w:val="000000"/>
          <w:sz w:val="24"/>
          <w:szCs w:val="24"/>
        </w:rPr>
        <w:tab/>
      </w:r>
    </w:p>
    <w:p>
      <w:pPr>
        <w:numPr>
          <w:ilvl w:val="0"/>
          <w:numId w:val="8"/>
        </w:numPr>
        <w:adjustRightInd w:val="0"/>
        <w:snapToGrid w:val="0"/>
        <w:spacing w:line="360" w:lineRule="auto"/>
        <w:ind w:left="425" w:hanging="425" w:leftChars="0" w:firstLineChars="0"/>
        <w:rPr>
          <w:rFonts w:ascii="宋体" w:eastAsia="宋体" w:hAnsi="宋体" w:cs="宋体" w:hint="eastAsia"/>
          <w:kern w:val="0"/>
          <w:sz w:val="24"/>
          <w:szCs w:val="24"/>
        </w:rPr>
      </w:pPr>
      <w:r>
        <w:rPr>
          <w:rFonts w:ascii="宋体" w:eastAsia="宋体" w:hAnsi="宋体" w:cs="宋体" w:hint="eastAsia"/>
          <w:kern w:val="0"/>
          <w:sz w:val="24"/>
          <w:szCs w:val="24"/>
        </w:rPr>
        <w:t>合同各方应通过友好协商，解决在执行合同过程中所发生的或与合同有关的一切争端。</w:t>
      </w:r>
    </w:p>
    <w:p>
      <w:pPr>
        <w:numPr>
          <w:ilvl w:val="0"/>
          <w:numId w:val="8"/>
        </w:numPr>
        <w:adjustRightInd w:val="0"/>
        <w:snapToGrid w:val="0"/>
        <w:spacing w:line="360" w:lineRule="auto"/>
        <w:ind w:left="425" w:hanging="425" w:leftChars="0" w:firstLineChars="0"/>
        <w:rPr>
          <w:rFonts w:ascii="宋体" w:eastAsia="宋体" w:hAnsi="宋体" w:cs="宋体" w:hint="eastAsia"/>
          <w:kern w:val="0"/>
          <w:sz w:val="24"/>
          <w:szCs w:val="24"/>
        </w:rPr>
      </w:pPr>
      <w:r>
        <w:rPr>
          <w:rFonts w:ascii="宋体" w:eastAsia="宋体" w:hAnsi="宋体" w:cs="宋体" w:hint="eastAsia"/>
          <w:kern w:val="0"/>
          <w:sz w:val="24"/>
          <w:szCs w:val="24"/>
        </w:rPr>
        <w:t>如从协商开始28日（日历日）内仍不能解决，任一方可向采购人所在地的人民法院提起诉讼。</w:t>
      </w:r>
    </w:p>
    <w:p>
      <w:pPr>
        <w:numPr>
          <w:ilvl w:val="0"/>
          <w:numId w:val="8"/>
        </w:numPr>
        <w:adjustRightInd w:val="0"/>
        <w:snapToGrid w:val="0"/>
        <w:spacing w:line="360" w:lineRule="auto"/>
        <w:ind w:left="425" w:hanging="425" w:leftChars="0" w:firstLineChars="0"/>
        <w:rPr>
          <w:rFonts w:ascii="宋体" w:eastAsia="宋体" w:hAnsi="宋体" w:cs="宋体" w:hint="eastAsia"/>
          <w:kern w:val="0"/>
          <w:sz w:val="24"/>
          <w:szCs w:val="24"/>
        </w:rPr>
      </w:pPr>
      <w:r>
        <w:rPr>
          <w:rFonts w:ascii="宋体" w:eastAsia="宋体" w:hAnsi="宋体" w:cs="宋体" w:hint="eastAsia"/>
          <w:kern w:val="0"/>
          <w:sz w:val="24"/>
          <w:szCs w:val="24"/>
        </w:rPr>
        <w:t>在诉讼期间，除正在进行诉讼的部分外，合同的其他部分应继续执行。</w:t>
      </w:r>
    </w:p>
    <w:p>
      <w:pPr>
        <w:numPr>
          <w:ilvl w:val="0"/>
          <w:numId w:val="5"/>
        </w:numPr>
        <w:tabs>
          <w:tab w:val="left" w:pos="540"/>
        </w:tabs>
        <w:adjustRightInd w:val="0"/>
        <w:snapToGrid w:val="0"/>
        <w:spacing w:line="360" w:lineRule="auto"/>
        <w:ind w:left="0" w:firstLine="0" w:leftChars="0" w:firstLineChars="0"/>
        <w:rPr>
          <w:rFonts w:ascii="宋体" w:eastAsia="宋体" w:hAnsi="宋体" w:cs="宋体" w:hint="eastAsia"/>
          <w:b/>
          <w:bCs/>
          <w:color w:val="000000"/>
          <w:sz w:val="24"/>
          <w:szCs w:val="24"/>
        </w:rPr>
      </w:pPr>
      <w:r>
        <w:rPr>
          <w:rFonts w:ascii="宋体" w:eastAsia="宋体" w:hAnsi="宋体" w:cs="宋体" w:hint="eastAsia"/>
          <w:b/>
          <w:bCs/>
          <w:color w:val="000000"/>
          <w:sz w:val="24"/>
          <w:szCs w:val="24"/>
        </w:rPr>
        <w:t>合同语言</w:t>
      </w:r>
      <w:r>
        <w:rPr>
          <w:rFonts w:ascii="宋体" w:eastAsia="宋体" w:hAnsi="宋体" w:cs="宋体" w:hint="eastAsia"/>
          <w:b/>
          <w:bCs/>
          <w:color w:val="000000"/>
          <w:sz w:val="24"/>
          <w:szCs w:val="24"/>
        </w:rPr>
        <w:tab/>
      </w:r>
    </w:p>
    <w:p>
      <w:pPr>
        <w:adjustRightInd w:val="0"/>
        <w:snapToGrid w:val="0"/>
        <w:spacing w:line="360" w:lineRule="auto"/>
        <w:ind w:left="420" w:leftChars="200"/>
        <w:rPr>
          <w:rFonts w:ascii="宋体" w:eastAsia="宋体" w:hAnsi="宋体" w:cs="宋体" w:hint="eastAsia"/>
          <w:kern w:val="0"/>
          <w:sz w:val="24"/>
          <w:szCs w:val="24"/>
        </w:rPr>
      </w:pPr>
      <w:r>
        <w:rPr>
          <w:rFonts w:ascii="宋体" w:eastAsia="宋体" w:hAnsi="宋体" w:cs="宋体" w:hint="eastAsia"/>
          <w:kern w:val="0"/>
          <w:sz w:val="24"/>
          <w:szCs w:val="24"/>
        </w:rPr>
        <w:t>合同以及双方来住的与合同有关的信件、传真和其它文件应用中文书写。</w:t>
      </w:r>
    </w:p>
    <w:p>
      <w:pPr>
        <w:numPr>
          <w:ilvl w:val="0"/>
          <w:numId w:val="5"/>
        </w:numPr>
        <w:tabs>
          <w:tab w:val="left" w:pos="540"/>
        </w:tabs>
        <w:adjustRightInd w:val="0"/>
        <w:snapToGrid w:val="0"/>
        <w:spacing w:line="360" w:lineRule="auto"/>
        <w:ind w:left="0" w:firstLine="0" w:leftChars="0" w:firstLineChars="0"/>
        <w:rPr>
          <w:rFonts w:ascii="宋体" w:eastAsia="宋体" w:hAnsi="宋体" w:cs="宋体" w:hint="eastAsia"/>
          <w:b/>
          <w:bCs/>
          <w:color w:val="000000"/>
          <w:sz w:val="24"/>
          <w:szCs w:val="24"/>
        </w:rPr>
      </w:pPr>
      <w:r>
        <w:rPr>
          <w:rFonts w:ascii="宋体" w:eastAsia="宋体" w:hAnsi="宋体" w:cs="宋体" w:hint="eastAsia"/>
          <w:b/>
          <w:bCs/>
          <w:color w:val="000000"/>
          <w:sz w:val="24"/>
          <w:szCs w:val="24"/>
        </w:rPr>
        <w:t>法律适用</w:t>
      </w:r>
      <w:r>
        <w:rPr>
          <w:rFonts w:ascii="宋体" w:eastAsia="宋体" w:hAnsi="宋体" w:cs="宋体" w:hint="eastAsia"/>
          <w:b/>
          <w:bCs/>
          <w:color w:val="000000"/>
          <w:sz w:val="24"/>
          <w:szCs w:val="24"/>
        </w:rPr>
        <w:tab/>
      </w:r>
    </w:p>
    <w:p>
      <w:pPr>
        <w:adjustRightInd w:val="0"/>
        <w:snapToGrid w:val="0"/>
        <w:spacing w:line="360" w:lineRule="auto"/>
        <w:ind w:firstLine="420" w:firstLineChars="200"/>
        <w:rPr>
          <w:rFonts w:ascii="宋体" w:eastAsia="宋体" w:hAnsi="宋体" w:cs="宋体" w:hint="eastAsia"/>
          <w:kern w:val="0"/>
          <w:sz w:val="24"/>
          <w:szCs w:val="24"/>
        </w:rPr>
      </w:pPr>
      <w:r>
        <w:rPr>
          <w:rFonts w:ascii="宋体" w:eastAsia="宋体" w:hAnsi="宋体" w:cs="宋体" w:hint="eastAsia"/>
          <w:kern w:val="0"/>
          <w:sz w:val="24"/>
          <w:szCs w:val="24"/>
        </w:rPr>
        <w:t>合同适用中华人民共和国现行法律、行政法规和规章，如合同条款与法律、行政法规和规章不一致的，按照法律、行政法规和规章修改合同。</w:t>
      </w:r>
    </w:p>
    <w:p>
      <w:pPr>
        <w:numPr>
          <w:ilvl w:val="0"/>
          <w:numId w:val="5"/>
        </w:numPr>
        <w:tabs>
          <w:tab w:val="left" w:pos="540"/>
        </w:tabs>
        <w:adjustRightInd w:val="0"/>
        <w:snapToGrid w:val="0"/>
        <w:spacing w:line="360" w:lineRule="auto"/>
        <w:ind w:left="0" w:firstLine="0" w:leftChars="0" w:firstLineChars="0"/>
        <w:rPr>
          <w:rFonts w:ascii="宋体" w:eastAsia="宋体" w:hAnsi="宋体" w:cs="宋体" w:hint="eastAsia"/>
          <w:b/>
          <w:bCs/>
          <w:color w:val="000000"/>
          <w:sz w:val="24"/>
          <w:szCs w:val="24"/>
        </w:rPr>
      </w:pPr>
      <w:r>
        <w:rPr>
          <w:rFonts w:ascii="宋体" w:eastAsia="宋体" w:hAnsi="宋体" w:cs="宋体" w:hint="eastAsia"/>
          <w:b/>
          <w:bCs/>
          <w:color w:val="000000"/>
          <w:sz w:val="24"/>
          <w:szCs w:val="24"/>
        </w:rPr>
        <w:t>通知</w:t>
      </w:r>
      <w:r>
        <w:rPr>
          <w:rFonts w:ascii="宋体" w:eastAsia="宋体" w:hAnsi="宋体" w:cs="宋体" w:hint="eastAsia"/>
          <w:b/>
          <w:bCs/>
          <w:color w:val="000000"/>
          <w:sz w:val="24"/>
          <w:szCs w:val="24"/>
        </w:rPr>
        <w:tab/>
      </w:r>
    </w:p>
    <w:p>
      <w:pPr>
        <w:numPr>
          <w:ilvl w:val="0"/>
          <w:numId w:val="9"/>
        </w:numPr>
        <w:adjustRightInd w:val="0"/>
        <w:snapToGrid w:val="0"/>
        <w:spacing w:line="360" w:lineRule="auto"/>
        <w:ind w:left="425" w:hanging="425" w:leftChars="0" w:firstLineChars="0"/>
        <w:rPr>
          <w:rFonts w:ascii="宋体" w:eastAsia="宋体" w:hAnsi="宋体" w:cs="宋体" w:hint="eastAsia"/>
          <w:kern w:val="0"/>
          <w:sz w:val="24"/>
          <w:szCs w:val="24"/>
        </w:rPr>
      </w:pPr>
      <w:r>
        <w:rPr>
          <w:rFonts w:ascii="宋体" w:eastAsia="宋体" w:hAnsi="宋体" w:cs="宋体" w:hint="eastAsia"/>
          <w:kern w:val="0"/>
          <w:sz w:val="24"/>
          <w:szCs w:val="24"/>
        </w:rPr>
        <w:t>合同一方给另一方的通知均应采用书面形式，传真或快递送到对方的地址和办理签收手续。</w:t>
      </w:r>
    </w:p>
    <w:p>
      <w:pPr>
        <w:numPr>
          <w:ilvl w:val="0"/>
          <w:numId w:val="9"/>
        </w:numPr>
        <w:adjustRightInd w:val="0"/>
        <w:snapToGrid w:val="0"/>
        <w:spacing w:line="360" w:lineRule="auto"/>
        <w:ind w:left="425" w:hanging="425" w:leftChars="0" w:firstLineChars="0"/>
        <w:rPr>
          <w:rFonts w:ascii="宋体" w:eastAsia="宋体" w:hAnsi="宋体" w:cs="宋体" w:hint="eastAsia"/>
          <w:kern w:val="0"/>
          <w:sz w:val="24"/>
          <w:szCs w:val="24"/>
        </w:rPr>
      </w:pPr>
      <w:r>
        <w:rPr>
          <w:rFonts w:ascii="宋体" w:eastAsia="宋体" w:hAnsi="宋体" w:cs="宋体" w:hint="eastAsia"/>
          <w:kern w:val="0"/>
          <w:sz w:val="24"/>
          <w:szCs w:val="24"/>
        </w:rPr>
        <w:t>通知以送到之日或通知书中规定的生效之日起生效，两者中以较迟之日为准。</w:t>
      </w:r>
    </w:p>
    <w:p>
      <w:pPr>
        <w:numPr>
          <w:ilvl w:val="0"/>
          <w:numId w:val="5"/>
        </w:numPr>
        <w:tabs>
          <w:tab w:val="left" w:pos="540"/>
        </w:tabs>
        <w:adjustRightInd w:val="0"/>
        <w:snapToGrid w:val="0"/>
        <w:spacing w:line="360" w:lineRule="auto"/>
        <w:ind w:left="0" w:firstLine="0" w:leftChars="0" w:firstLineChars="0"/>
        <w:rPr>
          <w:rFonts w:ascii="宋体" w:eastAsia="宋体" w:hAnsi="宋体" w:cs="宋体" w:hint="eastAsia"/>
          <w:b/>
          <w:bCs/>
          <w:color w:val="000000"/>
          <w:sz w:val="24"/>
          <w:szCs w:val="24"/>
        </w:rPr>
      </w:pPr>
      <w:r>
        <w:rPr>
          <w:rFonts w:ascii="宋体" w:eastAsia="宋体" w:hAnsi="宋体" w:cs="宋体" w:hint="eastAsia"/>
          <w:b/>
          <w:bCs/>
          <w:color w:val="000000"/>
          <w:sz w:val="24"/>
          <w:szCs w:val="24"/>
        </w:rPr>
        <w:t>★知识产权</w:t>
      </w:r>
      <w:r>
        <w:rPr>
          <w:rFonts w:ascii="宋体" w:eastAsia="宋体" w:hAnsi="宋体" w:cs="宋体" w:hint="eastAsia"/>
          <w:b/>
          <w:bCs/>
          <w:color w:val="000000"/>
          <w:sz w:val="24"/>
          <w:szCs w:val="24"/>
        </w:rPr>
        <w:tab/>
      </w:r>
    </w:p>
    <w:p>
      <w:pPr>
        <w:numPr>
          <w:ilvl w:val="0"/>
          <w:numId w:val="10"/>
        </w:numPr>
        <w:adjustRightInd w:val="0"/>
        <w:snapToGrid w:val="0"/>
        <w:spacing w:line="360" w:lineRule="auto"/>
        <w:ind w:left="425" w:hanging="425" w:leftChars="0" w:firstLineChars="0"/>
        <w:rPr>
          <w:rFonts w:ascii="宋体" w:eastAsia="宋体" w:hAnsi="宋体" w:cs="宋体" w:hint="eastAsia"/>
          <w:kern w:val="0"/>
          <w:sz w:val="24"/>
          <w:szCs w:val="24"/>
        </w:rPr>
      </w:pPr>
      <w:r>
        <w:rPr>
          <w:rFonts w:ascii="宋体" w:eastAsia="宋体" w:hAnsi="宋体" w:cs="宋体" w:hint="eastAsia"/>
          <w:kern w:val="0"/>
          <w:sz w:val="24"/>
          <w:szCs w:val="24"/>
        </w:rPr>
        <w:t>中标人在履行合同的过程中不得侵犯他人知识产权，不得提供虚假知识产权申请材料或者违背知识产权合规性承诺，否则依法追究其违约等责任，并将其失信违法信息依法纳入公共信用信息系统。</w:t>
      </w:r>
    </w:p>
    <w:p>
      <w:pPr>
        <w:numPr>
          <w:ilvl w:val="0"/>
          <w:numId w:val="10"/>
        </w:numPr>
        <w:adjustRightInd w:val="0"/>
        <w:snapToGrid w:val="0"/>
        <w:spacing w:line="360" w:lineRule="auto"/>
        <w:ind w:left="425" w:hanging="425" w:leftChars="0" w:firstLineChars="0"/>
        <w:rPr>
          <w:rFonts w:ascii="宋体" w:eastAsia="宋体" w:hAnsi="宋体" w:cs="宋体" w:hint="eastAsia"/>
          <w:kern w:val="0"/>
          <w:sz w:val="24"/>
          <w:szCs w:val="24"/>
        </w:rPr>
      </w:pPr>
      <w:r>
        <w:rPr>
          <w:rFonts w:ascii="宋体" w:eastAsia="宋体" w:hAnsi="宋体" w:cs="宋体" w:hint="eastAsia"/>
          <w:kern w:val="0"/>
          <w:sz w:val="24"/>
          <w:szCs w:val="24"/>
        </w:rPr>
        <w:t>中标人应保证采购人在使用该项目成果或其任何一部分时免受第三方提出侵犯其专利、商标、版权等知识产权或商品名称及其他权利的起诉及索赔。若采购人因此被第三方起诉或以其它方式追究责任，中标人应赔偿因采购人被第三方索赔所引起的一切损失，包括但不限于采购人所支付的侵权损害赔偿费、律师费、诉讼费、仲裁费、办案差旅费等因应诉、沟通协调所发的一切费用。</w:t>
      </w:r>
    </w:p>
    <w:p>
      <w:pPr>
        <w:numPr>
          <w:ilvl w:val="0"/>
          <w:numId w:val="5"/>
        </w:numPr>
        <w:tabs>
          <w:tab w:val="left" w:pos="540"/>
        </w:tabs>
        <w:adjustRightInd w:val="0"/>
        <w:snapToGrid w:val="0"/>
        <w:spacing w:line="360" w:lineRule="auto"/>
        <w:ind w:left="0" w:firstLine="0" w:leftChars="0" w:firstLineChars="0"/>
        <w:rPr>
          <w:rFonts w:ascii="宋体" w:eastAsia="宋体" w:hAnsi="宋体" w:cs="宋体" w:hint="eastAsia"/>
          <w:b/>
          <w:bCs/>
          <w:color w:val="000000"/>
          <w:sz w:val="24"/>
          <w:szCs w:val="24"/>
        </w:rPr>
      </w:pPr>
      <w:r>
        <w:rPr>
          <w:rFonts w:ascii="宋体" w:eastAsia="宋体" w:hAnsi="宋体" w:cs="宋体" w:hint="eastAsia"/>
          <w:b/>
          <w:bCs/>
          <w:color w:val="000000"/>
          <w:sz w:val="24"/>
          <w:szCs w:val="24"/>
        </w:rPr>
        <w:t>合同解除和终止</w:t>
      </w:r>
      <w:r>
        <w:rPr>
          <w:rFonts w:ascii="宋体" w:eastAsia="宋体" w:hAnsi="宋体" w:cs="宋体" w:hint="eastAsia"/>
          <w:b/>
          <w:bCs/>
          <w:color w:val="000000"/>
          <w:sz w:val="24"/>
          <w:szCs w:val="24"/>
        </w:rPr>
        <w:tab/>
      </w:r>
    </w:p>
    <w:p>
      <w:pPr>
        <w:adjustRightInd w:val="0"/>
        <w:snapToGrid w:val="0"/>
        <w:spacing w:line="360" w:lineRule="auto"/>
        <w:ind w:firstLine="420" w:firstLineChars="200"/>
        <w:rPr>
          <w:rFonts w:ascii="宋体" w:eastAsia="宋体" w:hAnsi="宋体" w:cs="宋体" w:hint="eastAsia"/>
          <w:kern w:val="0"/>
          <w:sz w:val="24"/>
          <w:szCs w:val="24"/>
        </w:rPr>
      </w:pPr>
      <w:r>
        <w:rPr>
          <w:rFonts w:ascii="宋体" w:eastAsia="宋体" w:hAnsi="宋体" w:cs="宋体" w:hint="eastAsia"/>
          <w:kern w:val="0"/>
          <w:sz w:val="24"/>
          <w:szCs w:val="24"/>
        </w:rPr>
        <w:t>如果中标人未能在协议规定的限期或采购人同意延长的限期内提供部分或全部服务，采购人可向中标人发出书面的违约通知书，提出终止部份或全部协议。采购人可在任何时候出于自身的便利向中标人发出书面通知终止部分合同，采购人在合同总价中扣除该终止部分服务的价款，并不再对中标人作出额外赔偿。</w:t>
      </w:r>
    </w:p>
    <w:p>
      <w:pPr>
        <w:numPr>
          <w:ilvl w:val="0"/>
          <w:numId w:val="5"/>
        </w:numPr>
        <w:tabs>
          <w:tab w:val="left" w:pos="540"/>
        </w:tabs>
        <w:adjustRightInd w:val="0"/>
        <w:snapToGrid w:val="0"/>
        <w:spacing w:line="360" w:lineRule="auto"/>
        <w:ind w:left="0" w:firstLine="0" w:leftChars="0" w:firstLineChars="0"/>
        <w:rPr>
          <w:rFonts w:ascii="宋体" w:eastAsia="宋体" w:hAnsi="宋体" w:cs="宋体" w:hint="eastAsia"/>
          <w:b/>
          <w:bCs/>
          <w:kern w:val="0"/>
          <w:sz w:val="24"/>
          <w:szCs w:val="24"/>
        </w:rPr>
      </w:pPr>
      <w:r>
        <w:rPr>
          <w:rFonts w:ascii="宋体" w:eastAsia="宋体" w:hAnsi="宋体" w:cs="宋体" w:hint="eastAsia"/>
          <w:b/>
          <w:bCs/>
          <w:kern w:val="0"/>
          <w:sz w:val="24"/>
          <w:szCs w:val="24"/>
        </w:rPr>
        <w:t>税费</w:t>
      </w:r>
      <w:r>
        <w:rPr>
          <w:rFonts w:ascii="宋体" w:eastAsia="宋体" w:hAnsi="宋体" w:cs="宋体" w:hint="eastAsia"/>
          <w:b/>
          <w:bCs/>
          <w:kern w:val="0"/>
          <w:sz w:val="24"/>
          <w:szCs w:val="24"/>
        </w:rPr>
        <w:tab/>
      </w:r>
    </w:p>
    <w:p>
      <w:pPr>
        <w:pStyle w:val="PlainText"/>
        <w:numPr>
          <w:ilvl w:val="0"/>
          <w:numId w:val="0"/>
        </w:numPr>
        <w:tabs>
          <w:tab w:val="left" w:pos="540"/>
        </w:tabs>
        <w:adjustRightInd w:val="0"/>
        <w:snapToGrid w:val="0"/>
        <w:spacing w:line="360" w:lineRule="auto"/>
        <w:ind w:firstLine="420" w:leftChars="0" w:firstLineChars="200"/>
        <w:rPr>
          <w:rFonts w:hAnsi="宋体"/>
          <w:b/>
          <w:sz w:val="24"/>
          <w:szCs w:val="24"/>
        </w:rPr>
      </w:pPr>
      <w:r>
        <w:rPr>
          <w:rFonts w:ascii="宋体" w:eastAsia="宋体" w:hAnsi="宋体" w:cs="宋体" w:hint="eastAsia"/>
          <w:kern w:val="0"/>
          <w:sz w:val="24"/>
          <w:szCs w:val="24"/>
        </w:rPr>
        <w:t>中国政府根据现行税法向中标人征收的与合同有关的一切税费均由中标人负责。</w:t>
      </w:r>
    </w:p>
    <w:p>
      <w:pPr>
        <w:numPr>
          <w:ilvl w:val="0"/>
          <w:numId w:val="5"/>
        </w:numPr>
        <w:tabs>
          <w:tab w:val="left" w:pos="540"/>
        </w:tabs>
        <w:adjustRightInd w:val="0"/>
        <w:snapToGrid w:val="0"/>
        <w:spacing w:line="360" w:lineRule="auto"/>
        <w:ind w:left="0" w:firstLine="0" w:leftChars="0" w:firstLineChars="0"/>
        <w:rPr>
          <w:rFonts w:hAnsi="宋体"/>
          <w:b/>
          <w:sz w:val="24"/>
          <w:szCs w:val="24"/>
        </w:rPr>
      </w:pPr>
      <w:r>
        <w:rPr>
          <w:rFonts w:hAnsi="宋体" w:hint="eastAsia"/>
          <w:b/>
          <w:sz w:val="24"/>
          <w:szCs w:val="24"/>
        </w:rPr>
        <w:t>其他</w:t>
      </w:r>
    </w:p>
    <w:p>
      <w:pPr>
        <w:pStyle w:val="PlainText"/>
        <w:numPr>
          <w:ilvl w:val="0"/>
          <w:numId w:val="0"/>
        </w:numPr>
        <w:tabs>
          <w:tab w:val="left" w:pos="540"/>
        </w:tabs>
        <w:adjustRightInd w:val="0"/>
        <w:snapToGrid w:val="0"/>
        <w:spacing w:line="360" w:lineRule="auto"/>
        <w:ind w:firstLine="420" w:leftChars="0" w:firstLineChars="200"/>
        <w:rPr>
          <w:rFonts w:hAnsi="宋体"/>
          <w:b/>
          <w:sz w:val="24"/>
          <w:szCs w:val="24"/>
        </w:rPr>
      </w:pPr>
      <w:r>
        <w:rPr>
          <w:rFonts w:hAnsi="宋体" w:hint="eastAsia"/>
          <w:bCs/>
          <w:sz w:val="24"/>
          <w:szCs w:val="24"/>
        </w:rPr>
        <w:t>★在合同履行期间，如出现因违法经营受到刑事处罚或者责令停产停业、吊销许可证或者执照、较大数额罚款等行政处罚，导致不满足《中华人民共和国政府采购法》第二十二条供应商要求的，一经查证属实，采购人有权单方解除协议（合同）或不予续签下一年度合同，且无需承担任何违约责任。</w:t>
      </w:r>
    </w:p>
    <w:p>
      <w:pPr>
        <w:widowControl/>
        <w:tabs>
          <w:tab w:val="left" w:pos="567"/>
        </w:tabs>
        <w:autoSpaceDE w:val="0"/>
        <w:autoSpaceDN w:val="0"/>
        <w:adjustRightInd w:val="0"/>
        <w:snapToGrid w:val="0"/>
        <w:spacing w:line="360" w:lineRule="auto"/>
        <w:jc w:val="left"/>
        <w:rPr>
          <w:rFonts w:hAnsi="宋体" w:cs="宋体"/>
          <w:sz w:val="24"/>
        </w:rPr>
      </w:pPr>
    </w:p>
    <w:p>
      <w:pPr>
        <w:rPr>
          <w:rFonts w:hint="eastAsia"/>
          <w:b/>
          <w:bCs/>
          <w:sz w:val="28"/>
          <w:szCs w:val="28"/>
        </w:rPr>
      </w:pPr>
      <w:r>
        <w:rPr>
          <w:rFonts w:hint="eastAsia"/>
          <w:b/>
          <w:bCs/>
          <w:sz w:val="28"/>
          <w:szCs w:val="28"/>
        </w:rPr>
        <w:br w:type="page"/>
      </w:r>
    </w:p>
    <w:p>
      <w:pPr>
        <w:adjustRightInd w:val="0"/>
        <w:snapToGrid w:val="0"/>
        <w:spacing w:line="360" w:lineRule="auto"/>
        <w:jc w:val="center"/>
        <w:outlineLvl w:val="0"/>
        <w:rPr>
          <w:b/>
          <w:bCs/>
          <w:sz w:val="28"/>
          <w:szCs w:val="28"/>
          <w:highlight w:val="yellow"/>
        </w:rPr>
      </w:pPr>
      <w:bookmarkStart w:id="76" w:name="_Toc4785"/>
      <w:bookmarkStart w:id="77" w:name="_Toc256000010"/>
      <w:r>
        <w:rPr>
          <w:rFonts w:hint="eastAsia"/>
          <w:b/>
          <w:bCs/>
          <w:sz w:val="28"/>
          <w:szCs w:val="28"/>
        </w:rPr>
        <w:t>第三章 评标方法</w:t>
      </w:r>
      <w:bookmarkEnd w:id="73"/>
      <w:r>
        <w:rPr>
          <w:rFonts w:hint="eastAsia"/>
          <w:b/>
          <w:bCs/>
          <w:sz w:val="28"/>
          <w:szCs w:val="28"/>
        </w:rPr>
        <w:t>和标准</w:t>
      </w:r>
      <w:bookmarkEnd w:id="77"/>
      <w:bookmarkEnd w:id="76"/>
    </w:p>
    <w:p>
      <w:pPr>
        <w:pStyle w:val="ListParagraph"/>
        <w:numPr>
          <w:ilvl w:val="0"/>
          <w:numId w:val="11"/>
        </w:numPr>
        <w:tabs>
          <w:tab w:val="left" w:pos="420"/>
          <w:tab w:val="left" w:pos="630"/>
        </w:tabs>
        <w:autoSpaceDE w:val="0"/>
        <w:autoSpaceDN w:val="0"/>
        <w:adjustRightInd w:val="0"/>
        <w:snapToGrid w:val="0"/>
        <w:spacing w:line="360" w:lineRule="auto"/>
        <w:ind w:firstLineChars="0"/>
        <w:rPr>
          <w:rFonts w:ascii="宋体" w:hAnsi="宋体"/>
          <w:b/>
          <w:color w:val="000000" w:themeColor="text1"/>
          <w:sz w:val="24"/>
          <w14:textFill>
            <w14:solidFill>
              <w14:schemeClr w14:val="tx1"/>
            </w14:solidFill>
          </w14:textFill>
        </w:rPr>
      </w:pPr>
      <w:r>
        <w:rPr>
          <w:rFonts w:ascii="宋体" w:hAnsi="宋体" w:hint="eastAsia"/>
          <w:b/>
          <w:color w:val="000000" w:themeColor="text1"/>
          <w:sz w:val="24"/>
          <w14:textFill>
            <w14:solidFill>
              <w14:schemeClr w14:val="tx1"/>
            </w14:solidFill>
          </w14:textFill>
        </w:rPr>
        <w:t>说明：</w:t>
      </w:r>
    </w:p>
    <w:p>
      <w:pPr>
        <w:pStyle w:val="ListParagraph"/>
        <w:numPr>
          <w:ilvl w:val="0"/>
          <w:numId w:val="12"/>
        </w:numPr>
        <w:tabs>
          <w:tab w:val="left" w:pos="630"/>
        </w:tabs>
        <w:autoSpaceDE w:val="0"/>
        <w:autoSpaceDN w:val="0"/>
        <w:adjustRightInd w:val="0"/>
        <w:snapToGrid w:val="0"/>
        <w:spacing w:line="360" w:lineRule="auto"/>
        <w:ind w:left="567" w:hanging="567" w:firstLineChars="0"/>
        <w:rPr>
          <w:rFonts w:ascii="宋体" w:hAnsi="宋体"/>
          <w:color w:val="FF0000"/>
          <w:sz w:val="24"/>
        </w:rPr>
      </w:pPr>
      <w:r>
        <w:rPr>
          <w:rFonts w:ascii="宋体" w:hAnsi="宋体" w:hint="eastAsia"/>
          <w:color w:val="000000" w:themeColor="text1"/>
          <w:sz w:val="24"/>
          <w14:textFill>
            <w14:solidFill>
              <w14:schemeClr w14:val="tx1"/>
            </w14:solidFill>
          </w14:textFill>
        </w:rPr>
        <w:t>投标人必须严格按照《资格性审查表》、《符合性审查表》的评审内容的要求如实提供证明材料，若投标人不满足《资格性审查表》、《符合性审查表》中任何情形之一的，则其投标无效。</w:t>
      </w:r>
    </w:p>
    <w:p>
      <w:pPr>
        <w:pStyle w:val="ListParagraph"/>
        <w:numPr>
          <w:ilvl w:val="0"/>
          <w:numId w:val="12"/>
        </w:numPr>
        <w:tabs>
          <w:tab w:val="left" w:pos="630"/>
        </w:tabs>
        <w:autoSpaceDE w:val="0"/>
        <w:autoSpaceDN w:val="0"/>
        <w:adjustRightInd w:val="0"/>
        <w:snapToGrid w:val="0"/>
        <w:spacing w:line="360" w:lineRule="auto"/>
        <w:ind w:left="567" w:hanging="567" w:firstLineChars="0"/>
        <w:rPr>
          <w:rFonts w:ascii="宋体" w:hAnsi="宋体"/>
          <w:strike/>
          <w:color w:val="00B0F0"/>
          <w:sz w:val="24"/>
        </w:rPr>
      </w:pPr>
      <w:r>
        <w:rPr>
          <w:rFonts w:ascii="宋体" w:hAnsi="宋体" w:hint="eastAsia"/>
          <w:sz w:val="24"/>
        </w:rPr>
        <w:t>资格性、符合性审查内容详见《资格性审查表》、《符合性审查表》。</w:t>
      </w:r>
    </w:p>
    <w:p>
      <w:pPr>
        <w:pStyle w:val="ListParagraph"/>
        <w:numPr>
          <w:ilvl w:val="0"/>
          <w:numId w:val="12"/>
        </w:numPr>
        <w:tabs>
          <w:tab w:val="left" w:pos="630"/>
        </w:tabs>
        <w:autoSpaceDE w:val="0"/>
        <w:autoSpaceDN w:val="0"/>
        <w:adjustRightInd w:val="0"/>
        <w:snapToGrid w:val="0"/>
        <w:spacing w:line="360" w:lineRule="auto"/>
        <w:ind w:left="567" w:hanging="567" w:firstLineChars="0"/>
        <w:rPr>
          <w:rFonts w:ascii="宋体" w:hAnsi="宋体"/>
          <w:sz w:val="24"/>
        </w:rPr>
      </w:pPr>
      <w:r>
        <w:rPr>
          <w:rFonts w:ascii="宋体" w:hAnsi="宋体" w:hint="eastAsia"/>
          <w:sz w:val="24"/>
        </w:rPr>
        <w:t>技术、商务评分：评审委员会各成员分值的算术平均值（四舍五入后，小数点后保留两位有效数）。</w:t>
      </w:r>
    </w:p>
    <w:p>
      <w:pPr>
        <w:pStyle w:val="ListParagraph"/>
        <w:numPr>
          <w:ilvl w:val="0"/>
          <w:numId w:val="12"/>
        </w:numPr>
        <w:tabs>
          <w:tab w:val="left" w:pos="630"/>
        </w:tabs>
        <w:autoSpaceDE w:val="0"/>
        <w:autoSpaceDN w:val="0"/>
        <w:adjustRightInd w:val="0"/>
        <w:snapToGrid w:val="0"/>
        <w:spacing w:line="360" w:lineRule="auto"/>
        <w:ind w:left="567" w:hanging="567" w:firstLineChars="0"/>
        <w:rPr>
          <w:rFonts w:ascii="宋体" w:hAnsi="宋体"/>
          <w:sz w:val="24"/>
        </w:rPr>
      </w:pPr>
      <w:r>
        <w:rPr>
          <w:rFonts w:ascii="宋体" w:hAnsi="宋体" w:hint="eastAsia"/>
          <w:sz w:val="24"/>
        </w:rPr>
        <w:t>投标人应如实提交《综合评分表》要求提交的相关各类证明、资料等，投标人如未按要求提交的，该项评分为零分。</w:t>
      </w:r>
    </w:p>
    <w:p>
      <w:pPr>
        <w:widowControl/>
        <w:jc w:val="left"/>
        <w:rPr>
          <w:rFonts w:ascii="黑体" w:eastAsia="黑体" w:hAnsi="宋体" w:cs="宋体"/>
          <w:sz w:val="28"/>
          <w:szCs w:val="28"/>
        </w:rPr>
      </w:pPr>
      <w:bookmarkStart w:id="78" w:name="_Toc435514846"/>
      <w:r>
        <w:rPr>
          <w:rFonts w:ascii="黑体" w:eastAsia="黑体" w:hAnsi="宋体" w:cs="宋体"/>
          <w:sz w:val="28"/>
          <w:szCs w:val="28"/>
        </w:rPr>
        <w:br w:type="page"/>
      </w:r>
    </w:p>
    <w:p>
      <w:pPr>
        <w:jc w:val="center"/>
        <w:rPr>
          <w:b/>
          <w:bCs/>
          <w:color w:val="FF0000"/>
          <w:sz w:val="28"/>
          <w:szCs w:val="28"/>
        </w:rPr>
      </w:pPr>
      <w:bookmarkEnd w:id="78"/>
      <w:bookmarkStart w:id="79" w:name="_Toc30664355"/>
      <w:bookmarkStart w:id="80" w:name="_Toc435514848"/>
      <w:r>
        <w:rPr>
          <w:rFonts w:hint="eastAsia"/>
          <w:b/>
          <w:bCs/>
          <w:sz w:val="28"/>
          <w:szCs w:val="28"/>
        </w:rPr>
        <w:t>投标文件初审</w:t>
      </w:r>
      <w:bookmarkEnd w:id="79"/>
    </w:p>
    <w:tbl>
      <w:tblPr>
        <w:tblStyle w:val="TableNormal"/>
        <w:tblW w:w="9396" w:type="dxa"/>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0" w:type="dxa"/>
          <w:left w:w="108" w:type="dxa"/>
          <w:bottom w:w="0" w:type="dxa"/>
          <w:right w:w="108" w:type="dxa"/>
        </w:tblCellMar>
      </w:tblPr>
      <w:tblGrid>
        <w:gridCol w:w="1079"/>
        <w:gridCol w:w="8317"/>
      </w:tblGrid>
      <w:tr>
        <w:tblPrEx>
          <w:tblW w:w="9396" w:type="dxa"/>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0" w:type="dxa"/>
            <w:left w:w="108" w:type="dxa"/>
            <w:bottom w:w="0" w:type="dxa"/>
            <w:right w:w="108" w:type="dxa"/>
          </w:tblCellMar>
        </w:tblPrEx>
        <w:trPr>
          <w:trHeight w:val="578"/>
        </w:trPr>
        <w:tc>
          <w:tcPr>
            <w:tcW w:w="1079" w:type="dxa"/>
            <w:vAlign w:val="center"/>
          </w:tcPr>
          <w:p>
            <w:pPr>
              <w:snapToGrid w:val="0"/>
              <w:spacing w:line="288" w:lineRule="auto"/>
              <w:jc w:val="center"/>
              <w:rPr>
                <w:rFonts w:asciiTheme="minorEastAsia" w:eastAsiaTheme="minorEastAsia" w:hAnsiTheme="minorEastAsia" w:cs="宋体"/>
                <w:b/>
                <w:sz w:val="24"/>
              </w:rPr>
            </w:pPr>
            <w:r>
              <w:rPr>
                <w:rFonts w:asciiTheme="minorEastAsia" w:eastAsiaTheme="minorEastAsia" w:hAnsiTheme="minorEastAsia" w:cs="宋体" w:hint="eastAsia"/>
                <w:b/>
                <w:sz w:val="24"/>
              </w:rPr>
              <w:t>序号</w:t>
            </w:r>
          </w:p>
        </w:tc>
        <w:tc>
          <w:tcPr>
            <w:tcW w:w="8317" w:type="dxa"/>
            <w:vAlign w:val="center"/>
          </w:tcPr>
          <w:p>
            <w:pPr>
              <w:snapToGrid w:val="0"/>
              <w:spacing w:line="288" w:lineRule="auto"/>
              <w:jc w:val="center"/>
              <w:rPr>
                <w:rFonts w:asciiTheme="minorEastAsia" w:eastAsiaTheme="minorEastAsia" w:hAnsiTheme="minorEastAsia" w:cs="宋体"/>
                <w:b/>
                <w:sz w:val="24"/>
              </w:rPr>
            </w:pPr>
            <w:r>
              <w:rPr>
                <w:rFonts w:asciiTheme="minorEastAsia" w:eastAsiaTheme="minorEastAsia" w:hAnsiTheme="minorEastAsia" w:cs="宋体" w:hint="eastAsia"/>
                <w:b/>
                <w:sz w:val="24"/>
              </w:rPr>
              <w:t>资格性审查</w:t>
            </w:r>
          </w:p>
        </w:tc>
      </w:tr>
      <w:tr>
        <w:tblPrEx>
          <w:tblW w:w="9396" w:type="dxa"/>
          <w:tblInd w:w="0" w:type="dxa"/>
          <w:tblLayout w:type="fixed"/>
          <w:tblCellMar>
            <w:top w:w="0" w:type="dxa"/>
            <w:left w:w="108" w:type="dxa"/>
            <w:bottom w:w="0" w:type="dxa"/>
            <w:right w:w="108" w:type="dxa"/>
          </w:tblCellMar>
        </w:tblPrEx>
        <w:trPr>
          <w:trHeight w:val="527"/>
        </w:trPr>
        <w:tc>
          <w:tcPr>
            <w:tcW w:w="1079" w:type="dxa"/>
            <w:vAlign w:val="center"/>
          </w:tcPr>
          <w:p>
            <w:pPr>
              <w:pStyle w:val="ListParagraph"/>
              <w:numPr>
                <w:ilvl w:val="0"/>
                <w:numId w:val="13"/>
              </w:numPr>
              <w:adjustRightInd w:val="0"/>
              <w:snapToGrid w:val="0"/>
              <w:spacing w:line="288" w:lineRule="auto"/>
              <w:ind w:left="149" w:firstLine="0" w:leftChars="71" w:firstLineChars="0"/>
              <w:textAlignment w:val="baseline"/>
              <w:rPr>
                <w:rFonts w:asciiTheme="minorEastAsia" w:eastAsiaTheme="minorEastAsia" w:hAnsiTheme="minorEastAsia" w:cs="宋体"/>
                <w:sz w:val="24"/>
              </w:rPr>
            </w:pPr>
          </w:p>
        </w:tc>
        <w:tc>
          <w:tcPr>
            <w:tcW w:w="8317" w:type="dxa"/>
            <w:vAlign w:val="center"/>
          </w:tcPr>
          <w:p>
            <w:pPr>
              <w:tabs>
                <w:tab w:val="left" w:pos="612"/>
              </w:tabs>
              <w:snapToGrid w:val="0"/>
              <w:spacing w:line="288" w:lineRule="auto"/>
              <w:rPr>
                <w:rFonts w:asciiTheme="minorEastAsia" w:eastAsiaTheme="minorEastAsia" w:hAnsiTheme="minorEastAsia" w:cs="宋体"/>
                <w:sz w:val="24"/>
              </w:rPr>
            </w:pPr>
            <w:r>
              <w:rPr>
                <w:rFonts w:asciiTheme="minorEastAsia" w:eastAsiaTheme="minorEastAsia" w:hAnsiTheme="minorEastAsia" w:hint="eastAsia"/>
                <w:bCs/>
                <w:sz w:val="24"/>
              </w:rPr>
              <w:t>具备《中华人民共和国政府采购法》第二十二条规定的条件</w:t>
            </w:r>
            <w:r>
              <w:rPr>
                <w:rFonts w:asciiTheme="minorEastAsia" w:eastAsiaTheme="minorEastAsia" w:hAnsiTheme="minorEastAsia" w:hint="eastAsia"/>
                <w:sz w:val="24"/>
              </w:rPr>
              <w:t>；</w:t>
            </w:r>
          </w:p>
        </w:tc>
      </w:tr>
      <w:tr>
        <w:tblPrEx>
          <w:tblW w:w="9396" w:type="dxa"/>
          <w:tblInd w:w="0" w:type="dxa"/>
          <w:tblLayout w:type="fixed"/>
          <w:tblCellMar>
            <w:top w:w="0" w:type="dxa"/>
            <w:left w:w="108" w:type="dxa"/>
            <w:bottom w:w="0" w:type="dxa"/>
            <w:right w:w="108" w:type="dxa"/>
          </w:tblCellMar>
        </w:tblPrEx>
        <w:trPr>
          <w:trHeight w:val="527"/>
        </w:trPr>
        <w:tc>
          <w:tcPr>
            <w:tcW w:w="1079" w:type="dxa"/>
            <w:vAlign w:val="center"/>
          </w:tcPr>
          <w:p>
            <w:pPr>
              <w:numPr>
                <w:ilvl w:val="0"/>
                <w:numId w:val="14"/>
              </w:numPr>
              <w:tabs>
                <w:tab w:val="left" w:pos="176"/>
                <w:tab w:val="left" w:pos="612"/>
              </w:tabs>
              <w:adjustRightInd w:val="0"/>
              <w:snapToGrid w:val="0"/>
              <w:spacing w:line="288" w:lineRule="auto"/>
              <w:jc w:val="center"/>
              <w:textAlignment w:val="baseline"/>
              <w:rPr>
                <w:rFonts w:asciiTheme="minorEastAsia" w:eastAsiaTheme="minorEastAsia" w:hAnsiTheme="minorEastAsia" w:cs="宋体"/>
                <w:sz w:val="24"/>
              </w:rPr>
            </w:pPr>
          </w:p>
        </w:tc>
        <w:tc>
          <w:tcPr>
            <w:tcW w:w="8317" w:type="dxa"/>
            <w:vAlign w:val="center"/>
          </w:tcPr>
          <w:p>
            <w:pPr>
              <w:tabs>
                <w:tab w:val="left" w:pos="612"/>
              </w:tabs>
              <w:snapToGrid w:val="0"/>
              <w:spacing w:line="288" w:lineRule="auto"/>
              <w:rPr>
                <w:rFonts w:asciiTheme="minorEastAsia" w:eastAsiaTheme="minorEastAsia" w:hAnsiTheme="minorEastAsia" w:cs="宋体"/>
                <w:sz w:val="24"/>
              </w:rPr>
            </w:pPr>
            <w:r>
              <w:rPr>
                <w:rFonts w:asciiTheme="minorEastAsia" w:eastAsiaTheme="minorEastAsia" w:hAnsiTheme="minorEastAsia" w:hint="eastAsia"/>
                <w:sz w:val="24"/>
              </w:rPr>
              <w:t>提供在中华人民共和国境内注册的法人或其他组织的营业执照或事业单位法人证书或社会团体法人登记证书</w:t>
            </w:r>
            <w:r>
              <w:rPr>
                <w:rFonts w:asciiTheme="minorEastAsia" w:eastAsiaTheme="minorEastAsia" w:hAnsiTheme="minorEastAsia" w:cs="黑体" w:hint="eastAsia"/>
                <w:sz w:val="24"/>
              </w:rPr>
              <w:t>扫描件</w:t>
            </w:r>
            <w:r>
              <w:rPr>
                <w:rFonts w:asciiTheme="minorEastAsia" w:eastAsiaTheme="minorEastAsia" w:hAnsiTheme="minorEastAsia" w:hint="eastAsia"/>
                <w:sz w:val="24"/>
              </w:rPr>
              <w:t>，如投标人为自然人的提供自然人身份证明</w:t>
            </w:r>
            <w:r>
              <w:rPr>
                <w:rFonts w:asciiTheme="minorEastAsia" w:eastAsiaTheme="minorEastAsia" w:hAnsiTheme="minorEastAsia" w:cs="黑体" w:hint="eastAsia"/>
                <w:sz w:val="24"/>
              </w:rPr>
              <w:t>扫描件</w:t>
            </w:r>
            <w:r>
              <w:rPr>
                <w:rFonts w:asciiTheme="minorEastAsia" w:eastAsiaTheme="minorEastAsia" w:hAnsiTheme="minorEastAsia" w:hint="eastAsia"/>
                <w:bCs/>
                <w:sz w:val="24"/>
              </w:rPr>
              <w:t>；</w:t>
            </w:r>
            <w:r>
              <w:rPr>
                <w:rFonts w:asciiTheme="minorEastAsia" w:eastAsiaTheme="minorEastAsia" w:hAnsiTheme="minorEastAsia" w:hint="eastAsia"/>
                <w:sz w:val="24"/>
              </w:rPr>
              <w:t>如国家另有规定的，则从其规定。（</w:t>
            </w:r>
            <w:r>
              <w:rPr>
                <w:rFonts w:asciiTheme="minorEastAsia" w:eastAsiaTheme="minorEastAsia" w:hAnsiTheme="minorEastAsia" w:cs="宋体" w:hint="eastAsia"/>
                <w:sz w:val="24"/>
              </w:rPr>
              <w:t>分支机构投标，须取得</w:t>
            </w:r>
            <w:r>
              <w:rPr>
                <w:rFonts w:asciiTheme="minorEastAsia" w:eastAsiaTheme="minorEastAsia" w:hAnsiTheme="minorEastAsia" w:cs="黑体" w:hint="eastAsia"/>
                <w:sz w:val="24"/>
              </w:rPr>
              <w:t>具有法人资格的总公司</w:t>
            </w:r>
            <w:r>
              <w:rPr>
                <w:rStyle w:val="p141"/>
                <w:rFonts w:asciiTheme="minorEastAsia" w:eastAsiaTheme="minorEastAsia" w:hAnsiTheme="minorEastAsia" w:hint="eastAsia"/>
                <w:sz w:val="24"/>
              </w:rPr>
              <w:t>（总所）</w:t>
            </w:r>
            <w:r>
              <w:rPr>
                <w:rFonts w:asciiTheme="minorEastAsia" w:eastAsiaTheme="minorEastAsia" w:hAnsiTheme="minorEastAsia" w:cs="黑体" w:hint="eastAsia"/>
                <w:sz w:val="24"/>
              </w:rPr>
              <w:t>出具给分支机构的授权书，并提供总公司</w:t>
            </w:r>
            <w:r>
              <w:rPr>
                <w:rStyle w:val="p141"/>
                <w:rFonts w:asciiTheme="minorEastAsia" w:eastAsiaTheme="minorEastAsia" w:hAnsiTheme="minorEastAsia" w:hint="eastAsia"/>
                <w:sz w:val="24"/>
              </w:rPr>
              <w:t>（总所）</w:t>
            </w:r>
            <w:r>
              <w:rPr>
                <w:rFonts w:asciiTheme="minorEastAsia" w:eastAsiaTheme="minorEastAsia" w:hAnsiTheme="minorEastAsia" w:cs="黑体" w:hint="eastAsia"/>
                <w:sz w:val="24"/>
              </w:rPr>
              <w:t>和分支机构的营业执照（执业许可证）扫描件。</w:t>
            </w:r>
            <w:r>
              <w:rPr>
                <w:rStyle w:val="p141"/>
                <w:rFonts w:asciiTheme="minorEastAsia" w:eastAsiaTheme="minorEastAsia" w:hAnsiTheme="minorEastAsia" w:hint="eastAsia"/>
                <w:sz w:val="24"/>
              </w:rPr>
              <w:t>已由总公司（总所）授权的，总公司（总所）取</w:t>
            </w:r>
            <w:r>
              <w:rPr>
                <w:rStyle w:val="p141"/>
                <w:rFonts w:asciiTheme="minorEastAsia" w:eastAsiaTheme="minorEastAsia" w:hAnsiTheme="minorEastAsia" w:hint="eastAsia"/>
                <w:sz w:val="24"/>
                <w:highlight w:val="white"/>
              </w:rPr>
              <w:t>得的相关资质证书对分支机构有效，法律法规或者行业另有规定的除外</w:t>
            </w:r>
            <w:r>
              <w:rPr>
                <w:rStyle w:val="p141"/>
                <w:rFonts w:asciiTheme="minorEastAsia" w:eastAsiaTheme="minorEastAsia" w:hAnsiTheme="minorEastAsia" w:hint="eastAsia"/>
                <w:sz w:val="24"/>
              </w:rPr>
              <w:t>。）</w:t>
            </w:r>
          </w:p>
        </w:tc>
      </w:tr>
      <w:tr>
        <w:tblPrEx>
          <w:tblW w:w="9396" w:type="dxa"/>
          <w:tblInd w:w="0" w:type="dxa"/>
          <w:tblLayout w:type="fixed"/>
          <w:tblCellMar>
            <w:top w:w="0" w:type="dxa"/>
            <w:left w:w="108" w:type="dxa"/>
            <w:bottom w:w="0" w:type="dxa"/>
            <w:right w:w="108" w:type="dxa"/>
          </w:tblCellMar>
        </w:tblPrEx>
        <w:trPr>
          <w:trHeight w:val="527"/>
        </w:trPr>
        <w:tc>
          <w:tcPr>
            <w:tcW w:w="1079" w:type="dxa"/>
            <w:vAlign w:val="center"/>
          </w:tcPr>
          <w:p>
            <w:pPr>
              <w:numPr>
                <w:ilvl w:val="0"/>
                <w:numId w:val="14"/>
              </w:numPr>
              <w:tabs>
                <w:tab w:val="left" w:pos="176"/>
                <w:tab w:val="left" w:pos="612"/>
              </w:tabs>
              <w:adjustRightInd w:val="0"/>
              <w:snapToGrid w:val="0"/>
              <w:spacing w:line="288" w:lineRule="auto"/>
              <w:jc w:val="center"/>
              <w:textAlignment w:val="baseline"/>
              <w:rPr>
                <w:rFonts w:asciiTheme="minorEastAsia" w:eastAsiaTheme="minorEastAsia" w:hAnsiTheme="minorEastAsia" w:cs="宋体"/>
                <w:sz w:val="24"/>
              </w:rPr>
            </w:pPr>
          </w:p>
        </w:tc>
        <w:tc>
          <w:tcPr>
            <w:tcW w:w="8317" w:type="dxa"/>
            <w:vAlign w:val="center"/>
          </w:tcPr>
          <w:p>
            <w:pPr>
              <w:tabs>
                <w:tab w:val="left" w:pos="612"/>
              </w:tabs>
              <w:snapToGrid w:val="0"/>
              <w:spacing w:line="288" w:lineRule="auto"/>
              <w:rPr>
                <w:rFonts w:asciiTheme="minorEastAsia" w:eastAsiaTheme="minorEastAsia" w:hAnsiTheme="minorEastAsia"/>
                <w:sz w:val="24"/>
              </w:rPr>
            </w:pPr>
            <w:r>
              <w:rPr>
                <w:rFonts w:asciiTheme="minorEastAsia" w:eastAsiaTheme="minorEastAsia" w:hAnsiTheme="minorEastAsia" w:hint="eastAsia"/>
                <w:bCs/>
                <w:sz w:val="24"/>
              </w:rPr>
              <w:t>提供履行合同所必需的设备和专业技术能力的书面声明；（提供《政府采购投标及履约承诺函》）</w:t>
            </w:r>
          </w:p>
        </w:tc>
      </w:tr>
      <w:tr>
        <w:tblPrEx>
          <w:tblW w:w="9396" w:type="dxa"/>
          <w:tblInd w:w="0" w:type="dxa"/>
          <w:tblLayout w:type="fixed"/>
          <w:tblCellMar>
            <w:top w:w="0" w:type="dxa"/>
            <w:left w:w="108" w:type="dxa"/>
            <w:bottom w:w="0" w:type="dxa"/>
            <w:right w:w="108" w:type="dxa"/>
          </w:tblCellMar>
        </w:tblPrEx>
        <w:trPr>
          <w:trHeight w:val="527"/>
        </w:trPr>
        <w:tc>
          <w:tcPr>
            <w:tcW w:w="1079" w:type="dxa"/>
            <w:vAlign w:val="center"/>
          </w:tcPr>
          <w:p>
            <w:pPr>
              <w:numPr>
                <w:ilvl w:val="0"/>
                <w:numId w:val="14"/>
              </w:numPr>
              <w:tabs>
                <w:tab w:val="left" w:pos="176"/>
                <w:tab w:val="left" w:pos="612"/>
              </w:tabs>
              <w:adjustRightInd w:val="0"/>
              <w:snapToGrid w:val="0"/>
              <w:spacing w:line="288" w:lineRule="auto"/>
              <w:jc w:val="center"/>
              <w:textAlignment w:val="baseline"/>
              <w:rPr>
                <w:rFonts w:asciiTheme="minorEastAsia" w:eastAsiaTheme="minorEastAsia" w:hAnsiTheme="minorEastAsia" w:cs="宋体"/>
                <w:sz w:val="24"/>
                <w:highlight w:val="none"/>
              </w:rPr>
            </w:pPr>
          </w:p>
        </w:tc>
        <w:tc>
          <w:tcPr>
            <w:tcW w:w="8317" w:type="dxa"/>
            <w:vAlign w:val="center"/>
          </w:tcPr>
          <w:p>
            <w:pPr>
              <w:tabs>
                <w:tab w:val="left" w:pos="612"/>
              </w:tabs>
              <w:snapToGrid w:val="0"/>
              <w:spacing w:line="288" w:lineRule="auto"/>
              <w:rPr>
                <w:rFonts w:asciiTheme="minorEastAsia" w:eastAsiaTheme="minorEastAsia" w:hAnsiTheme="minorEastAsia"/>
                <w:sz w:val="24"/>
                <w:highlight w:val="none"/>
              </w:rPr>
            </w:pPr>
            <w:r>
              <w:rPr>
                <w:rFonts w:asciiTheme="minorEastAsia" w:eastAsiaTheme="minorEastAsia" w:hAnsiTheme="minorEastAsia" w:hint="eastAsia"/>
                <w:sz w:val="24"/>
                <w:highlight w:val="none"/>
              </w:rPr>
              <w:t>参与本项目投标前三年内，在经营活动中没有重大违法记录</w:t>
            </w:r>
            <w:r>
              <w:rPr>
                <w:rFonts w:asciiTheme="minorEastAsia" w:eastAsiaTheme="minorEastAsia" w:hAnsiTheme="minorEastAsia" w:hint="eastAsia"/>
                <w:bCs/>
                <w:sz w:val="24"/>
                <w:highlight w:val="none"/>
              </w:rPr>
              <w:t>（提供《政府采购投标及履约承诺函》）</w:t>
            </w:r>
            <w:r>
              <w:rPr>
                <w:rFonts w:asciiTheme="minorEastAsia" w:eastAsiaTheme="minorEastAsia" w:hAnsiTheme="minorEastAsia" w:hint="eastAsia"/>
                <w:sz w:val="24"/>
                <w:highlight w:val="none"/>
                <w:lang w:eastAsia="zh-CN"/>
              </w:rPr>
              <w:t>（</w:t>
            </w:r>
            <w:r>
              <w:rPr>
                <w:rFonts w:ascii="宋体" w:eastAsia="宋体" w:hAnsi="宋体" w:cs="宋体"/>
                <w:sz w:val="24"/>
                <w:szCs w:val="24"/>
                <w:highlight w:val="none"/>
              </w:rPr>
              <w:t>重大违法记录是指供应商因违法经营受到刑事处罚或者责令停产停业、吊销许可证或者执照、较大数额罚款等行政处罚（根据财库〔2022〕3号文，“较大数额罚款”认定为200万元以上的罚款，法律、行政法规以及国务院有关部门明确规定相关领域“较大数额罚款”标准高于200万元的，从其规定</w:t>
            </w:r>
            <w:r>
              <w:rPr>
                <w:rFonts w:asciiTheme="minorEastAsia" w:eastAsiaTheme="minorEastAsia" w:hAnsiTheme="minorEastAsia" w:hint="eastAsia"/>
                <w:sz w:val="24"/>
                <w:highlight w:val="none"/>
                <w:lang w:eastAsia="zh-CN"/>
              </w:rPr>
              <w:t>））</w:t>
            </w:r>
            <w:r>
              <w:rPr>
                <w:rFonts w:asciiTheme="minorEastAsia" w:eastAsiaTheme="minorEastAsia" w:hAnsiTheme="minorEastAsia" w:hint="eastAsia"/>
                <w:sz w:val="24"/>
                <w:highlight w:val="none"/>
              </w:rPr>
              <w:t>。</w:t>
            </w:r>
          </w:p>
        </w:tc>
      </w:tr>
      <w:tr>
        <w:tblPrEx>
          <w:tblW w:w="9396" w:type="dxa"/>
          <w:tblInd w:w="0" w:type="dxa"/>
          <w:tblLayout w:type="fixed"/>
          <w:tblCellMar>
            <w:top w:w="0" w:type="dxa"/>
            <w:left w:w="108" w:type="dxa"/>
            <w:bottom w:w="0" w:type="dxa"/>
            <w:right w:w="108" w:type="dxa"/>
          </w:tblCellMar>
        </w:tblPrEx>
        <w:trPr>
          <w:trHeight w:val="527"/>
        </w:trPr>
        <w:tc>
          <w:tcPr>
            <w:tcW w:w="1079" w:type="dxa"/>
            <w:vAlign w:val="center"/>
          </w:tcPr>
          <w:p>
            <w:pPr>
              <w:numPr>
                <w:ilvl w:val="0"/>
                <w:numId w:val="14"/>
              </w:numPr>
              <w:tabs>
                <w:tab w:val="left" w:pos="176"/>
                <w:tab w:val="left" w:pos="612"/>
              </w:tabs>
              <w:adjustRightInd w:val="0"/>
              <w:snapToGrid w:val="0"/>
              <w:spacing w:line="288" w:lineRule="auto"/>
              <w:jc w:val="center"/>
              <w:textAlignment w:val="baseline"/>
              <w:rPr>
                <w:rFonts w:asciiTheme="minorEastAsia" w:eastAsiaTheme="minorEastAsia" w:hAnsiTheme="minorEastAsia" w:cs="宋体"/>
                <w:sz w:val="24"/>
              </w:rPr>
            </w:pPr>
          </w:p>
        </w:tc>
        <w:tc>
          <w:tcPr>
            <w:tcW w:w="8317" w:type="dxa"/>
            <w:vAlign w:val="center"/>
          </w:tcPr>
          <w:p>
            <w:pPr>
              <w:tabs>
                <w:tab w:val="left" w:pos="612"/>
              </w:tabs>
              <w:snapToGrid w:val="0"/>
              <w:spacing w:line="288" w:lineRule="auto"/>
              <w:rPr>
                <w:rFonts w:asciiTheme="minorEastAsia" w:eastAsiaTheme="minorEastAsia" w:hAnsiTheme="minorEastAsia"/>
                <w:bCs/>
                <w:sz w:val="24"/>
              </w:rPr>
            </w:pPr>
            <w:r>
              <w:rPr>
                <w:rFonts w:asciiTheme="minorEastAsia" w:eastAsiaTheme="minorEastAsia" w:hAnsiTheme="minorEastAsia" w:hint="eastAsia"/>
                <w:sz w:val="24"/>
              </w:rPr>
              <w:t>参与本项目政府采购活动时不存在被有关部门禁止参与政府采购活动且在有效期内的情况</w:t>
            </w:r>
            <w:r>
              <w:rPr>
                <w:rFonts w:asciiTheme="minorEastAsia" w:eastAsiaTheme="minorEastAsia" w:hAnsiTheme="minorEastAsia" w:hint="eastAsia"/>
                <w:bCs/>
                <w:sz w:val="24"/>
              </w:rPr>
              <w:t>（提供《政府采购投标及履约承诺函》）</w:t>
            </w:r>
            <w:r>
              <w:rPr>
                <w:rFonts w:asciiTheme="minorEastAsia" w:eastAsiaTheme="minorEastAsia" w:hAnsiTheme="minorEastAsia" w:hint="eastAsia"/>
                <w:sz w:val="24"/>
              </w:rPr>
              <w:t>。</w:t>
            </w:r>
          </w:p>
        </w:tc>
      </w:tr>
      <w:tr>
        <w:tblPrEx>
          <w:tblW w:w="9396" w:type="dxa"/>
          <w:tblInd w:w="0" w:type="dxa"/>
          <w:tblLayout w:type="fixed"/>
          <w:tblCellMar>
            <w:top w:w="0" w:type="dxa"/>
            <w:left w:w="108" w:type="dxa"/>
            <w:bottom w:w="0" w:type="dxa"/>
            <w:right w:w="108" w:type="dxa"/>
          </w:tblCellMar>
        </w:tblPrEx>
        <w:trPr>
          <w:trHeight w:val="527"/>
        </w:trPr>
        <w:tc>
          <w:tcPr>
            <w:tcW w:w="1079" w:type="dxa"/>
            <w:vAlign w:val="center"/>
          </w:tcPr>
          <w:p>
            <w:pPr>
              <w:numPr>
                <w:ilvl w:val="0"/>
                <w:numId w:val="14"/>
              </w:numPr>
              <w:tabs>
                <w:tab w:val="left" w:pos="176"/>
                <w:tab w:val="left" w:pos="612"/>
              </w:tabs>
              <w:adjustRightInd w:val="0"/>
              <w:snapToGrid w:val="0"/>
              <w:spacing w:line="288" w:lineRule="auto"/>
              <w:jc w:val="center"/>
              <w:textAlignment w:val="baseline"/>
              <w:rPr>
                <w:rFonts w:asciiTheme="minorEastAsia" w:eastAsiaTheme="minorEastAsia" w:hAnsiTheme="minorEastAsia" w:cs="宋体"/>
                <w:sz w:val="24"/>
              </w:rPr>
            </w:pPr>
          </w:p>
        </w:tc>
        <w:tc>
          <w:tcPr>
            <w:tcW w:w="8317" w:type="dxa"/>
            <w:vAlign w:val="center"/>
          </w:tcPr>
          <w:p>
            <w:pPr>
              <w:tabs>
                <w:tab w:val="left" w:pos="612"/>
              </w:tabs>
              <w:snapToGrid w:val="0"/>
              <w:spacing w:line="288" w:lineRule="auto"/>
              <w:rPr>
                <w:rFonts w:asciiTheme="minorEastAsia" w:eastAsiaTheme="minorEastAsia" w:hAnsiTheme="minorEastAsia"/>
                <w:bCs/>
                <w:sz w:val="24"/>
              </w:rPr>
            </w:pPr>
            <w:r>
              <w:rPr>
                <w:rFonts w:asciiTheme="minorEastAsia" w:eastAsiaTheme="minorEastAsia" w:hAnsiTheme="minorEastAsia" w:hint="eastAsia"/>
                <w:bCs/>
                <w:sz w:val="24"/>
              </w:rPr>
              <w:t>法律、行政法规规定的其他条件（提供《政府采购投标及履约承诺函》）。</w:t>
            </w:r>
          </w:p>
        </w:tc>
      </w:tr>
      <w:tr>
        <w:tblPrEx>
          <w:tblW w:w="9396" w:type="dxa"/>
          <w:tblInd w:w="0" w:type="dxa"/>
          <w:tblLayout w:type="fixed"/>
          <w:tblCellMar>
            <w:top w:w="0" w:type="dxa"/>
            <w:left w:w="108" w:type="dxa"/>
            <w:bottom w:w="0" w:type="dxa"/>
            <w:right w:w="108" w:type="dxa"/>
          </w:tblCellMar>
        </w:tblPrEx>
        <w:trPr>
          <w:trHeight w:val="527"/>
        </w:trPr>
        <w:tc>
          <w:tcPr>
            <w:tcW w:w="1079" w:type="dxa"/>
            <w:vAlign w:val="center"/>
          </w:tcPr>
          <w:p>
            <w:pPr>
              <w:pStyle w:val="ListParagraph"/>
              <w:numPr>
                <w:ilvl w:val="0"/>
                <w:numId w:val="13"/>
              </w:numPr>
              <w:adjustRightInd w:val="0"/>
              <w:snapToGrid w:val="0"/>
              <w:spacing w:line="288" w:lineRule="auto"/>
              <w:ind w:left="149" w:firstLine="0" w:leftChars="71" w:firstLineChars="0"/>
              <w:textAlignment w:val="baseline"/>
              <w:rPr>
                <w:rFonts w:asciiTheme="minorEastAsia" w:eastAsiaTheme="minorEastAsia" w:hAnsiTheme="minorEastAsia" w:cs="宋体"/>
                <w:sz w:val="24"/>
              </w:rPr>
            </w:pPr>
          </w:p>
        </w:tc>
        <w:tc>
          <w:tcPr>
            <w:tcW w:w="8317" w:type="dxa"/>
            <w:vAlign w:val="center"/>
          </w:tcPr>
          <w:p>
            <w:pPr>
              <w:snapToGrid w:val="0"/>
              <w:spacing w:line="288" w:lineRule="auto"/>
              <w:rPr>
                <w:rFonts w:asciiTheme="minorEastAsia" w:eastAsiaTheme="minorEastAsia" w:hAnsiTheme="minorEastAsia"/>
                <w:sz w:val="24"/>
              </w:rPr>
            </w:pPr>
            <w:r>
              <w:rPr>
                <w:rFonts w:ascii="宋体" w:hAnsi="宋体" w:hint="eastAsia"/>
                <w:bCs/>
                <w:sz w:val="24"/>
              </w:rPr>
              <w:t>为采购项目提供整体设计、规范编制或者项目管理、监理、检测等服务的供应商，不得再参加该采购项目</w:t>
            </w:r>
            <w:r>
              <w:rPr>
                <w:rFonts w:hint="eastAsia"/>
                <w:bCs/>
                <w:sz w:val="24"/>
              </w:rPr>
              <w:t>同一合同项下</w:t>
            </w:r>
            <w:r>
              <w:rPr>
                <w:rFonts w:ascii="宋体" w:hAnsi="宋体" w:hint="eastAsia"/>
                <w:bCs/>
                <w:sz w:val="24"/>
              </w:rPr>
              <w:t>的其他采购活动</w:t>
            </w:r>
            <w:r>
              <w:rPr>
                <w:rFonts w:asciiTheme="minorEastAsia" w:eastAsiaTheme="minorEastAsia" w:hAnsiTheme="minorEastAsia" w:hint="eastAsia"/>
                <w:bCs/>
                <w:sz w:val="24"/>
              </w:rPr>
              <w:t>（提供《政府采购投标及履约承诺函》）。</w:t>
            </w:r>
          </w:p>
        </w:tc>
      </w:tr>
      <w:tr>
        <w:tblPrEx>
          <w:tblW w:w="9396" w:type="dxa"/>
          <w:tblInd w:w="0" w:type="dxa"/>
          <w:tblLayout w:type="fixed"/>
          <w:tblCellMar>
            <w:top w:w="0" w:type="dxa"/>
            <w:left w:w="108" w:type="dxa"/>
            <w:bottom w:w="0" w:type="dxa"/>
            <w:right w:w="108" w:type="dxa"/>
          </w:tblCellMar>
        </w:tblPrEx>
        <w:trPr>
          <w:trHeight w:val="527"/>
        </w:trPr>
        <w:tc>
          <w:tcPr>
            <w:tcW w:w="1079" w:type="dxa"/>
            <w:vAlign w:val="center"/>
          </w:tcPr>
          <w:p>
            <w:pPr>
              <w:pStyle w:val="ListParagraph"/>
              <w:numPr>
                <w:ilvl w:val="0"/>
                <w:numId w:val="13"/>
              </w:numPr>
              <w:adjustRightInd w:val="0"/>
              <w:snapToGrid w:val="0"/>
              <w:spacing w:line="288" w:lineRule="auto"/>
              <w:ind w:left="149" w:firstLine="0" w:leftChars="71" w:firstLineChars="0"/>
              <w:textAlignment w:val="baseline"/>
              <w:rPr>
                <w:rFonts w:asciiTheme="minorEastAsia" w:eastAsiaTheme="minorEastAsia" w:hAnsiTheme="minorEastAsia" w:cs="宋体"/>
                <w:sz w:val="24"/>
              </w:rPr>
            </w:pPr>
          </w:p>
        </w:tc>
        <w:tc>
          <w:tcPr>
            <w:tcW w:w="8317" w:type="dxa"/>
            <w:vAlign w:val="center"/>
          </w:tcPr>
          <w:p>
            <w:pPr>
              <w:snapToGrid w:val="0"/>
              <w:spacing w:line="288" w:lineRule="auto"/>
              <w:rPr>
                <w:rFonts w:asciiTheme="minorEastAsia" w:eastAsiaTheme="minorEastAsia" w:hAnsiTheme="minorEastAsia"/>
                <w:bCs/>
                <w:sz w:val="24"/>
              </w:rPr>
            </w:pPr>
            <w:r>
              <w:rPr>
                <w:rFonts w:ascii="宋体" w:hAnsi="宋体" w:hint="eastAsia"/>
                <w:bCs/>
                <w:sz w:val="24"/>
              </w:rPr>
              <w:t>单位负责人为同一人或者存在直接控股、管理关系的不同供应商，不得参加同一合同项下的政府采购活动</w:t>
            </w:r>
            <w:r>
              <w:rPr>
                <w:rFonts w:asciiTheme="minorEastAsia" w:eastAsiaTheme="minorEastAsia" w:hAnsiTheme="minorEastAsia" w:hint="eastAsia"/>
                <w:bCs/>
                <w:sz w:val="24"/>
              </w:rPr>
              <w:t>提供《政府采购投标及履约承诺函》）。</w:t>
            </w:r>
          </w:p>
        </w:tc>
      </w:tr>
      <w:tr>
        <w:tblPrEx>
          <w:tblW w:w="9396" w:type="dxa"/>
          <w:tblInd w:w="0" w:type="dxa"/>
          <w:tblLayout w:type="fixed"/>
          <w:tblCellMar>
            <w:top w:w="0" w:type="dxa"/>
            <w:left w:w="108" w:type="dxa"/>
            <w:bottom w:w="0" w:type="dxa"/>
            <w:right w:w="108" w:type="dxa"/>
          </w:tblCellMar>
        </w:tblPrEx>
        <w:trPr>
          <w:trHeight w:val="527"/>
        </w:trPr>
        <w:tc>
          <w:tcPr>
            <w:tcW w:w="1079" w:type="dxa"/>
            <w:vAlign w:val="center"/>
          </w:tcPr>
          <w:p>
            <w:pPr>
              <w:pStyle w:val="ListParagraph"/>
              <w:numPr>
                <w:ilvl w:val="0"/>
                <w:numId w:val="13"/>
              </w:numPr>
              <w:adjustRightInd w:val="0"/>
              <w:snapToGrid w:val="0"/>
              <w:spacing w:line="288" w:lineRule="auto"/>
              <w:ind w:left="149" w:firstLine="0" w:leftChars="71" w:firstLineChars="0"/>
              <w:textAlignment w:val="baseline"/>
              <w:rPr>
                <w:rFonts w:asciiTheme="minorEastAsia" w:eastAsiaTheme="minorEastAsia" w:hAnsiTheme="minorEastAsia" w:cs="宋体"/>
                <w:sz w:val="24"/>
              </w:rPr>
            </w:pPr>
          </w:p>
        </w:tc>
        <w:tc>
          <w:tcPr>
            <w:tcW w:w="8317" w:type="dxa"/>
            <w:vAlign w:val="center"/>
          </w:tcPr>
          <w:p>
            <w:pPr>
              <w:snapToGrid w:val="0"/>
              <w:spacing w:line="288" w:lineRule="auto"/>
              <w:rPr>
                <w:rFonts w:asciiTheme="minorEastAsia" w:eastAsiaTheme="minorEastAsia" w:hAnsiTheme="minorEastAsia"/>
                <w:bCs/>
                <w:sz w:val="24"/>
              </w:rPr>
            </w:pPr>
            <w:r>
              <w:rPr>
                <w:rFonts w:asciiTheme="minorEastAsia" w:eastAsiaTheme="minorEastAsia" w:hAnsiTheme="minorEastAsia" w:hint="eastAsia"/>
                <w:bCs/>
                <w:sz w:val="24"/>
              </w:rPr>
              <w:t>参与政府采购项目投标的供应商未被列入失信被执行人、</w:t>
            </w:r>
            <w:r>
              <w:rPr>
                <w:rFonts w:asciiTheme="minorEastAsia" w:eastAsiaTheme="minorEastAsia" w:hAnsiTheme="minorEastAsia"/>
                <w:bCs/>
                <w:sz w:val="24"/>
              </w:rPr>
              <w:t>重大税收违法案件当事人名单（税收违法黑名单）</w:t>
            </w:r>
            <w:r>
              <w:rPr>
                <w:rFonts w:asciiTheme="minorEastAsia" w:eastAsiaTheme="minorEastAsia" w:hAnsiTheme="minorEastAsia" w:hint="eastAsia"/>
                <w:bCs/>
                <w:sz w:val="24"/>
              </w:rPr>
              <w:t>、政府采购严重违法失信行为记录名单（提供《政府采购投标及履约承诺函》）。</w:t>
            </w:r>
          </w:p>
        </w:tc>
      </w:tr>
      <w:tr>
        <w:tblPrEx>
          <w:tblW w:w="9396" w:type="dxa"/>
          <w:tblInd w:w="0" w:type="dxa"/>
          <w:tblLayout w:type="fixed"/>
          <w:tblCellMar>
            <w:top w:w="0" w:type="dxa"/>
            <w:left w:w="108" w:type="dxa"/>
            <w:bottom w:w="0" w:type="dxa"/>
            <w:right w:w="108" w:type="dxa"/>
          </w:tblCellMar>
        </w:tblPrEx>
        <w:trPr>
          <w:trHeight w:val="527"/>
        </w:trPr>
        <w:tc>
          <w:tcPr>
            <w:tcW w:w="1079" w:type="dxa"/>
            <w:vAlign w:val="center"/>
          </w:tcPr>
          <w:p>
            <w:pPr>
              <w:pStyle w:val="ListParagraph"/>
              <w:numPr>
                <w:ilvl w:val="0"/>
                <w:numId w:val="13"/>
              </w:numPr>
              <w:adjustRightInd w:val="0"/>
              <w:snapToGrid w:val="0"/>
              <w:spacing w:line="288" w:lineRule="auto"/>
              <w:ind w:left="149" w:firstLine="0" w:leftChars="71" w:firstLineChars="0"/>
              <w:textAlignment w:val="baseline"/>
              <w:rPr>
                <w:rFonts w:asciiTheme="minorEastAsia" w:eastAsiaTheme="minorEastAsia" w:hAnsiTheme="minorEastAsia" w:cs="宋体"/>
                <w:color w:val="auto"/>
                <w:sz w:val="24"/>
              </w:rPr>
            </w:pPr>
          </w:p>
        </w:tc>
        <w:tc>
          <w:tcPr>
            <w:tcW w:w="8317" w:type="dxa"/>
            <w:vAlign w:val="center"/>
          </w:tcPr>
          <w:p>
            <w:pPr>
              <w:tabs>
                <w:tab w:val="left" w:pos="612"/>
              </w:tabs>
              <w:snapToGrid w:val="0"/>
              <w:spacing w:line="288" w:lineRule="auto"/>
              <w:rPr>
                <w:rFonts w:asciiTheme="minorEastAsia" w:eastAsiaTheme="minorEastAsia" w:hAnsiTheme="minorEastAsia"/>
                <w:bCs/>
                <w:color w:val="auto"/>
                <w:sz w:val="24"/>
              </w:rPr>
            </w:pPr>
            <w:r>
              <w:rPr>
                <w:rFonts w:asciiTheme="minorEastAsia" w:eastAsiaTheme="minorEastAsia" w:hAnsiTheme="minorEastAsia" w:hint="eastAsia"/>
                <w:bCs/>
                <w:color w:val="auto"/>
                <w:sz w:val="24"/>
              </w:rPr>
              <w:t>本项目不接受联合体投标，不允许转包分包。</w:t>
            </w:r>
          </w:p>
        </w:tc>
      </w:tr>
      <w:tr>
        <w:tblPrEx>
          <w:tblW w:w="9396" w:type="dxa"/>
          <w:tblInd w:w="0" w:type="dxa"/>
          <w:tblLayout w:type="fixed"/>
          <w:tblCellMar>
            <w:top w:w="0" w:type="dxa"/>
            <w:left w:w="108" w:type="dxa"/>
            <w:bottom w:w="0" w:type="dxa"/>
            <w:right w:w="108" w:type="dxa"/>
          </w:tblCellMar>
        </w:tblPrEx>
        <w:trPr>
          <w:trHeight w:val="527"/>
        </w:trPr>
        <w:tc>
          <w:tcPr>
            <w:tcW w:w="1079" w:type="dxa"/>
            <w:vAlign w:val="center"/>
          </w:tcPr>
          <w:p>
            <w:pPr>
              <w:pStyle w:val="ListParagraph"/>
              <w:numPr>
                <w:ilvl w:val="0"/>
                <w:numId w:val="13"/>
              </w:numPr>
              <w:adjustRightInd w:val="0"/>
              <w:snapToGrid w:val="0"/>
              <w:spacing w:line="288" w:lineRule="auto"/>
              <w:ind w:left="149" w:firstLine="0" w:leftChars="71" w:firstLineChars="0"/>
              <w:textAlignment w:val="baseline"/>
              <w:rPr>
                <w:rFonts w:asciiTheme="minorEastAsia" w:eastAsiaTheme="minorEastAsia" w:hAnsiTheme="minorEastAsia" w:cs="宋体"/>
                <w:sz w:val="24"/>
              </w:rPr>
            </w:pPr>
          </w:p>
        </w:tc>
        <w:tc>
          <w:tcPr>
            <w:tcW w:w="8317" w:type="dxa"/>
            <w:vAlign w:val="center"/>
          </w:tcPr>
          <w:p>
            <w:pPr>
              <w:tabs>
                <w:tab w:val="left" w:pos="612"/>
              </w:tabs>
              <w:snapToGrid w:val="0"/>
              <w:spacing w:line="288" w:lineRule="auto"/>
              <w:rPr>
                <w:rFonts w:asciiTheme="minorEastAsia" w:eastAsiaTheme="minorEastAsia" w:hAnsiTheme="minorEastAsia" w:cs="宋体" w:hint="eastAsia"/>
                <w:sz w:val="24"/>
              </w:rPr>
            </w:pPr>
            <w:r>
              <w:rPr>
                <w:rFonts w:asciiTheme="minorEastAsia" w:eastAsiaTheme="minorEastAsia" w:hAnsiTheme="minorEastAsia" w:cs="宋体" w:hint="eastAsia"/>
                <w:sz w:val="24"/>
              </w:rPr>
              <w:t>投标人参加本项目投标需提供未侵犯他人知识产权的合规性书面承诺（提供《知识产权合规性承诺》）</w:t>
            </w:r>
            <w:r>
              <w:rPr>
                <w:rFonts w:asciiTheme="minorEastAsia" w:eastAsiaTheme="minorEastAsia" w:hAnsiTheme="minorEastAsia" w:cs="宋体" w:hint="eastAsia"/>
                <w:sz w:val="24"/>
                <w:lang w:eastAsia="zh-CN"/>
              </w:rPr>
              <w:t>。</w:t>
            </w:r>
          </w:p>
        </w:tc>
      </w:tr>
      <w:tr>
        <w:tblPrEx>
          <w:tblW w:w="9396" w:type="dxa"/>
          <w:tblInd w:w="0" w:type="dxa"/>
          <w:tblLayout w:type="fixed"/>
          <w:tblCellMar>
            <w:top w:w="0" w:type="dxa"/>
            <w:left w:w="108" w:type="dxa"/>
            <w:bottom w:w="0" w:type="dxa"/>
            <w:right w:w="108" w:type="dxa"/>
          </w:tblCellMar>
        </w:tblPrEx>
        <w:trPr>
          <w:trHeight w:val="527"/>
        </w:trPr>
        <w:tc>
          <w:tcPr>
            <w:tcW w:w="1079" w:type="dxa"/>
            <w:vAlign w:val="center"/>
          </w:tcPr>
          <w:p>
            <w:pPr>
              <w:pStyle w:val="ListParagraph"/>
              <w:numPr>
                <w:ilvl w:val="0"/>
                <w:numId w:val="13"/>
              </w:numPr>
              <w:adjustRightInd w:val="0"/>
              <w:snapToGrid w:val="0"/>
              <w:spacing w:line="288" w:lineRule="auto"/>
              <w:ind w:left="149" w:firstLine="0" w:leftChars="71" w:firstLineChars="0"/>
              <w:textAlignment w:val="baseline"/>
              <w:rPr>
                <w:rFonts w:asciiTheme="minorEastAsia" w:eastAsiaTheme="minorEastAsia" w:hAnsiTheme="minorEastAsia" w:cs="宋体"/>
                <w:sz w:val="24"/>
              </w:rPr>
            </w:pPr>
          </w:p>
        </w:tc>
        <w:tc>
          <w:tcPr>
            <w:tcW w:w="8317" w:type="dxa"/>
            <w:vAlign w:val="center"/>
          </w:tcPr>
          <w:p>
            <w:pPr>
              <w:tabs>
                <w:tab w:val="left" w:pos="612"/>
              </w:tabs>
              <w:snapToGrid w:val="0"/>
              <w:spacing w:line="288" w:lineRule="auto"/>
              <w:rPr>
                <w:rFonts w:asciiTheme="minorEastAsia" w:eastAsiaTheme="minorEastAsia" w:hAnsiTheme="minorEastAsia" w:cs="宋体" w:hint="eastAsia"/>
                <w:sz w:val="24"/>
              </w:rPr>
            </w:pPr>
            <w:r>
              <w:rPr>
                <w:rFonts w:asciiTheme="minorEastAsia" w:eastAsiaTheme="minorEastAsia" w:hAnsiTheme="minorEastAsia" w:cs="宋体" w:hint="eastAsia"/>
                <w:sz w:val="24"/>
              </w:rPr>
              <w:t>投标人未参与深圳市碳资产管理和碳交易活动，不存在与深圳市从事碳资产管理与碳交易公司存在资产和管理方面的利益关系，如隶属于同一个上级机构、存在股权关系、同属于同一实际控制人等情况。（提供承诺函作为证明材料，格式自拟）</w:t>
            </w:r>
          </w:p>
        </w:tc>
      </w:tr>
      <w:tr>
        <w:tblPrEx>
          <w:tblW w:w="9396" w:type="dxa"/>
          <w:tblInd w:w="0" w:type="dxa"/>
          <w:tblLayout w:type="fixed"/>
          <w:tblCellMar>
            <w:top w:w="0" w:type="dxa"/>
            <w:left w:w="108" w:type="dxa"/>
            <w:bottom w:w="0" w:type="dxa"/>
            <w:right w:w="108" w:type="dxa"/>
          </w:tblCellMar>
        </w:tblPrEx>
        <w:trPr>
          <w:trHeight w:val="527"/>
        </w:trPr>
        <w:tc>
          <w:tcPr>
            <w:tcW w:w="1079" w:type="dxa"/>
            <w:vAlign w:val="center"/>
          </w:tcPr>
          <w:p>
            <w:pPr>
              <w:pStyle w:val="ListParagraph"/>
              <w:numPr>
                <w:ilvl w:val="0"/>
                <w:numId w:val="13"/>
              </w:numPr>
              <w:adjustRightInd w:val="0"/>
              <w:snapToGrid w:val="0"/>
              <w:spacing w:line="288" w:lineRule="auto"/>
              <w:ind w:left="149" w:firstLine="0" w:leftChars="71" w:firstLineChars="0"/>
              <w:textAlignment w:val="baseline"/>
              <w:rPr>
                <w:rFonts w:asciiTheme="minorEastAsia" w:eastAsiaTheme="minorEastAsia" w:hAnsiTheme="minorEastAsia" w:cs="宋体"/>
                <w:sz w:val="24"/>
              </w:rPr>
            </w:pPr>
          </w:p>
        </w:tc>
        <w:tc>
          <w:tcPr>
            <w:tcW w:w="8317" w:type="dxa"/>
            <w:vAlign w:val="center"/>
          </w:tcPr>
          <w:p>
            <w:pPr>
              <w:tabs>
                <w:tab w:val="left" w:pos="612"/>
              </w:tabs>
              <w:snapToGrid w:val="0"/>
              <w:spacing w:line="288" w:lineRule="auto"/>
              <w:rPr>
                <w:rFonts w:asciiTheme="minorEastAsia" w:eastAsiaTheme="minorEastAsia" w:hAnsiTheme="minorEastAsia" w:cs="宋体" w:hint="eastAsia"/>
                <w:sz w:val="24"/>
              </w:rPr>
            </w:pPr>
            <w:r>
              <w:rPr>
                <w:rFonts w:asciiTheme="minorEastAsia" w:eastAsiaTheme="minorEastAsia" w:hAnsiTheme="minorEastAsia" w:cs="宋体" w:hint="eastAsia"/>
                <w:sz w:val="24"/>
              </w:rPr>
              <w:t>本项目服务内容与“2022年新增管控单位基准年碳核查工作”项目存在利益相关性，因此“2022年新增管控单位基准年碳核查工作”项目的中标人不得参加本项目投标活动。（投标人无需提供材料，以工作人员查询结果为准）</w:t>
            </w:r>
          </w:p>
        </w:tc>
      </w:tr>
      <w:tr>
        <w:tblPrEx>
          <w:tblW w:w="9396" w:type="dxa"/>
          <w:tblInd w:w="0" w:type="dxa"/>
          <w:tblLayout w:type="fixed"/>
          <w:tblCellMar>
            <w:top w:w="0" w:type="dxa"/>
            <w:left w:w="108" w:type="dxa"/>
            <w:bottom w:w="0" w:type="dxa"/>
            <w:right w:w="108" w:type="dxa"/>
          </w:tblCellMar>
        </w:tblPrEx>
        <w:trPr>
          <w:trHeight w:val="527"/>
        </w:trPr>
        <w:tc>
          <w:tcPr>
            <w:tcW w:w="1079" w:type="dxa"/>
            <w:vAlign w:val="center"/>
          </w:tcPr>
          <w:p>
            <w:pPr>
              <w:pStyle w:val="ListParagraph"/>
              <w:numPr>
                <w:ilvl w:val="0"/>
                <w:numId w:val="13"/>
              </w:numPr>
              <w:adjustRightInd w:val="0"/>
              <w:snapToGrid w:val="0"/>
              <w:spacing w:line="288" w:lineRule="auto"/>
              <w:ind w:left="149" w:firstLine="0" w:leftChars="71" w:firstLineChars="0"/>
              <w:textAlignment w:val="baseline"/>
              <w:rPr>
                <w:rFonts w:asciiTheme="minorEastAsia" w:eastAsiaTheme="minorEastAsia" w:hAnsiTheme="minorEastAsia" w:cs="宋体"/>
                <w:sz w:val="24"/>
              </w:rPr>
            </w:pPr>
          </w:p>
        </w:tc>
        <w:tc>
          <w:tcPr>
            <w:tcW w:w="8317" w:type="dxa"/>
            <w:vAlign w:val="center"/>
          </w:tcPr>
          <w:p>
            <w:pPr>
              <w:tabs>
                <w:tab w:val="left" w:pos="612"/>
              </w:tabs>
              <w:snapToGrid w:val="0"/>
              <w:spacing w:line="288" w:lineRule="auto"/>
              <w:rPr>
                <w:rFonts w:asciiTheme="minorEastAsia" w:eastAsiaTheme="minorEastAsia" w:hAnsiTheme="minorEastAsia" w:cs="宋体"/>
                <w:sz w:val="24"/>
              </w:rPr>
            </w:pPr>
            <w:r>
              <w:rPr>
                <w:rFonts w:asciiTheme="minorEastAsia" w:eastAsiaTheme="minorEastAsia" w:hAnsiTheme="minorEastAsia" w:cs="宋体" w:hint="eastAsia"/>
                <w:sz w:val="24"/>
              </w:rPr>
              <w:t>《政府采购投标及履约承诺函》已提交并符合招标文件要求的。</w:t>
            </w:r>
          </w:p>
        </w:tc>
      </w:tr>
      <w:tr>
        <w:tblPrEx>
          <w:tblW w:w="9396" w:type="dxa"/>
          <w:tblInd w:w="0" w:type="dxa"/>
          <w:tblLayout w:type="fixed"/>
          <w:tblCellMar>
            <w:top w:w="0" w:type="dxa"/>
            <w:left w:w="108" w:type="dxa"/>
            <w:bottom w:w="0" w:type="dxa"/>
            <w:right w:w="108" w:type="dxa"/>
          </w:tblCellMar>
        </w:tblPrEx>
        <w:trPr>
          <w:trHeight w:val="527"/>
        </w:trPr>
        <w:tc>
          <w:tcPr>
            <w:tcW w:w="1079" w:type="dxa"/>
            <w:vAlign w:val="center"/>
          </w:tcPr>
          <w:p>
            <w:pPr>
              <w:pStyle w:val="ListParagraph"/>
              <w:numPr>
                <w:ilvl w:val="0"/>
                <w:numId w:val="13"/>
              </w:numPr>
              <w:adjustRightInd w:val="0"/>
              <w:snapToGrid w:val="0"/>
              <w:spacing w:line="288" w:lineRule="auto"/>
              <w:ind w:left="149" w:firstLine="0" w:leftChars="71" w:firstLineChars="0"/>
              <w:textAlignment w:val="baseline"/>
              <w:rPr>
                <w:rFonts w:asciiTheme="minorEastAsia" w:eastAsiaTheme="minorEastAsia" w:hAnsiTheme="minorEastAsia" w:cs="宋体"/>
                <w:color w:val="auto"/>
                <w:sz w:val="24"/>
              </w:rPr>
            </w:pPr>
          </w:p>
        </w:tc>
        <w:tc>
          <w:tcPr>
            <w:tcW w:w="8317" w:type="dxa"/>
            <w:vAlign w:val="center"/>
          </w:tcPr>
          <w:p>
            <w:pPr>
              <w:snapToGrid w:val="0"/>
              <w:rPr>
                <w:rFonts w:asciiTheme="minorEastAsia" w:eastAsiaTheme="minorEastAsia" w:hAnsiTheme="minorEastAsia" w:cs="宋体"/>
                <w:color w:val="auto"/>
                <w:sz w:val="24"/>
              </w:rPr>
            </w:pPr>
            <w:r>
              <w:rPr>
                <w:rFonts w:ascii="宋体" w:hAnsi="宋体" w:cs="仿宋_GB2312" w:hint="eastAsia"/>
                <w:color w:val="auto"/>
                <w:sz w:val="24"/>
              </w:rPr>
              <w:t>落实政府采购政策需满足的资格要求：无</w:t>
            </w:r>
            <w:r>
              <w:rPr>
                <w:rFonts w:ascii="宋体" w:hAnsi="宋体" w:cs="仿宋_GB2312"/>
                <w:color w:val="auto"/>
                <w:sz w:val="24"/>
              </w:rPr>
              <w:t>。</w:t>
            </w:r>
          </w:p>
        </w:tc>
      </w:tr>
    </w:tbl>
    <w:p/>
    <w:tbl>
      <w:tblPr>
        <w:tblStyle w:val="TableNormal"/>
        <w:tblW w:w="9303"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0" w:type="dxa"/>
          <w:left w:w="108" w:type="dxa"/>
          <w:bottom w:w="0" w:type="dxa"/>
          <w:right w:w="108" w:type="dxa"/>
        </w:tblCellMar>
      </w:tblPr>
      <w:tblGrid>
        <w:gridCol w:w="833"/>
        <w:gridCol w:w="8470"/>
      </w:tblGrid>
      <w:tr>
        <w:tblPrEx>
          <w:tblW w:w="9303"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0" w:type="dxa"/>
            <w:left w:w="108" w:type="dxa"/>
            <w:bottom w:w="0" w:type="dxa"/>
            <w:right w:w="108" w:type="dxa"/>
          </w:tblCellMar>
        </w:tblPrEx>
        <w:trPr>
          <w:cantSplit/>
          <w:trHeight w:val="642"/>
        </w:trPr>
        <w:tc>
          <w:tcPr>
            <w:tcW w:w="833" w:type="dxa"/>
            <w:vAlign w:val="center"/>
          </w:tcPr>
          <w:p>
            <w:pPr>
              <w:jc w:val="center"/>
              <w:rPr>
                <w:rFonts w:ascii="宋体" w:cs="宋体"/>
                <w:b/>
                <w:sz w:val="24"/>
              </w:rPr>
            </w:pPr>
            <w:r>
              <w:rPr>
                <w:rFonts w:ascii="宋体" w:cs="宋体" w:hint="eastAsia"/>
                <w:b/>
                <w:sz w:val="24"/>
              </w:rPr>
              <w:t>序号</w:t>
            </w:r>
          </w:p>
        </w:tc>
        <w:tc>
          <w:tcPr>
            <w:tcW w:w="8470" w:type="dxa"/>
            <w:vAlign w:val="center"/>
          </w:tcPr>
          <w:p>
            <w:pPr>
              <w:jc w:val="center"/>
              <w:rPr>
                <w:rFonts w:ascii="宋体" w:hAnsi="宋体" w:cs="宋体"/>
                <w:b/>
                <w:sz w:val="24"/>
              </w:rPr>
            </w:pPr>
            <w:bookmarkStart w:id="81" w:name="_Hlk34398339"/>
            <w:r>
              <w:rPr>
                <w:rFonts w:ascii="宋体" w:hAnsi="宋体" w:cs="宋体" w:hint="eastAsia"/>
                <w:b/>
                <w:sz w:val="24"/>
              </w:rPr>
              <w:t>符合性审查</w:t>
            </w:r>
            <w:bookmarkEnd w:id="81"/>
          </w:p>
        </w:tc>
      </w:tr>
      <w:tr>
        <w:tblPrEx>
          <w:tblW w:w="9303" w:type="dxa"/>
          <w:tblInd w:w="108" w:type="dxa"/>
          <w:tblLayout w:type="fixed"/>
          <w:tblCellMar>
            <w:top w:w="0" w:type="dxa"/>
            <w:left w:w="108" w:type="dxa"/>
            <w:bottom w:w="0" w:type="dxa"/>
            <w:right w:w="108" w:type="dxa"/>
          </w:tblCellMar>
        </w:tblPrEx>
        <w:trPr>
          <w:cantSplit/>
          <w:trHeight w:val="936"/>
        </w:trPr>
        <w:tc>
          <w:tcPr>
            <w:tcW w:w="833" w:type="dxa"/>
            <w:vAlign w:val="center"/>
          </w:tcPr>
          <w:p>
            <w:pPr>
              <w:numPr>
                <w:ilvl w:val="0"/>
                <w:numId w:val="15"/>
              </w:numPr>
              <w:tabs>
                <w:tab w:val="left" w:pos="176"/>
                <w:tab w:val="left" w:pos="612"/>
              </w:tabs>
              <w:jc w:val="center"/>
              <w:rPr>
                <w:rFonts w:ascii="宋体" w:hAnsi="宋体" w:cs="宋体"/>
                <w:color w:val="auto"/>
                <w:sz w:val="24"/>
                <w:highlight w:val="none"/>
              </w:rPr>
            </w:pPr>
          </w:p>
        </w:tc>
        <w:tc>
          <w:tcPr>
            <w:tcW w:w="8470" w:type="dxa"/>
            <w:vAlign w:val="center"/>
          </w:tcPr>
          <w:p>
            <w:pPr>
              <w:tabs>
                <w:tab w:val="left" w:pos="612"/>
              </w:tabs>
              <w:rPr>
                <w:rFonts w:ascii="宋体" w:hAnsi="宋体" w:cs="宋体"/>
                <w:color w:val="auto"/>
                <w:sz w:val="24"/>
                <w:highlight w:val="none"/>
              </w:rPr>
            </w:pPr>
            <w:r>
              <w:rPr>
                <w:rFonts w:ascii="宋体" w:hAnsi="宋体" w:cs="宋体" w:hint="eastAsia"/>
                <w:color w:val="auto"/>
                <w:sz w:val="24"/>
                <w:highlight w:val="none"/>
              </w:rPr>
              <w:t>投标函已提交并符合招标文件要求的，且</w:t>
            </w:r>
            <w:r>
              <w:rPr>
                <w:rFonts w:ascii="宋体" w:hAnsi="宋体" w:hint="eastAsia"/>
                <w:color w:val="auto"/>
                <w:sz w:val="24"/>
                <w:highlight w:val="none"/>
              </w:rPr>
              <w:t>投标有效期不少于招标文件中载明的投标有效期；</w:t>
            </w:r>
          </w:p>
        </w:tc>
      </w:tr>
      <w:tr>
        <w:tblPrEx>
          <w:tblW w:w="9303" w:type="dxa"/>
          <w:tblInd w:w="108" w:type="dxa"/>
          <w:tblLayout w:type="fixed"/>
          <w:tblCellMar>
            <w:top w:w="0" w:type="dxa"/>
            <w:left w:w="108" w:type="dxa"/>
            <w:bottom w:w="0" w:type="dxa"/>
            <w:right w:w="108" w:type="dxa"/>
          </w:tblCellMar>
        </w:tblPrEx>
        <w:trPr>
          <w:cantSplit/>
          <w:trHeight w:val="642"/>
        </w:trPr>
        <w:tc>
          <w:tcPr>
            <w:tcW w:w="833" w:type="dxa"/>
            <w:vAlign w:val="center"/>
          </w:tcPr>
          <w:p>
            <w:pPr>
              <w:numPr>
                <w:ilvl w:val="0"/>
                <w:numId w:val="15"/>
              </w:numPr>
              <w:tabs>
                <w:tab w:val="left" w:pos="176"/>
                <w:tab w:val="left" w:pos="612"/>
              </w:tabs>
              <w:jc w:val="center"/>
              <w:rPr>
                <w:rFonts w:ascii="宋体" w:hAnsi="宋体" w:cs="宋体"/>
                <w:color w:val="auto"/>
                <w:sz w:val="24"/>
                <w:highlight w:val="none"/>
              </w:rPr>
            </w:pPr>
          </w:p>
        </w:tc>
        <w:tc>
          <w:tcPr>
            <w:tcW w:w="8470" w:type="dxa"/>
            <w:vAlign w:val="center"/>
          </w:tcPr>
          <w:p>
            <w:pPr>
              <w:rPr>
                <w:rFonts w:ascii="宋体" w:hAnsi="宋体" w:cs="宋体"/>
                <w:color w:val="auto"/>
                <w:sz w:val="24"/>
                <w:highlight w:val="none"/>
              </w:rPr>
            </w:pPr>
            <w:r>
              <w:rPr>
                <w:rFonts w:asciiTheme="minorEastAsia" w:eastAsiaTheme="minorEastAsia" w:hAnsiTheme="minorEastAsia" w:cs="宋体" w:hint="eastAsia"/>
                <w:color w:val="auto"/>
                <w:sz w:val="24"/>
                <w:highlight w:val="none"/>
              </w:rPr>
              <w:t>投标报价未超过</w:t>
            </w:r>
            <w:r>
              <w:rPr>
                <w:rFonts w:asciiTheme="minorEastAsia" w:eastAsiaTheme="minorEastAsia" w:hAnsiTheme="minorEastAsia" w:cs="宋体" w:hint="eastAsia"/>
                <w:color w:val="auto"/>
                <w:kern w:val="0"/>
                <w:sz w:val="24"/>
                <w:highlight w:val="none"/>
              </w:rPr>
              <w:t>本项目</w:t>
            </w:r>
            <w:r>
              <w:rPr>
                <w:rFonts w:asciiTheme="minorEastAsia" w:eastAsiaTheme="minorEastAsia" w:hAnsiTheme="minorEastAsia" w:cs="宋体" w:hint="eastAsia"/>
                <w:color w:val="auto"/>
                <w:sz w:val="24"/>
                <w:highlight w:val="none"/>
              </w:rPr>
              <w:t>最高限价的；</w:t>
            </w:r>
          </w:p>
        </w:tc>
      </w:tr>
      <w:tr>
        <w:tblPrEx>
          <w:tblW w:w="9303" w:type="dxa"/>
          <w:tblInd w:w="108" w:type="dxa"/>
          <w:tblLayout w:type="fixed"/>
          <w:tblCellMar>
            <w:top w:w="0" w:type="dxa"/>
            <w:left w:w="108" w:type="dxa"/>
            <w:bottom w:w="0" w:type="dxa"/>
            <w:right w:w="108" w:type="dxa"/>
          </w:tblCellMar>
        </w:tblPrEx>
        <w:trPr>
          <w:cantSplit/>
          <w:trHeight w:val="642"/>
        </w:trPr>
        <w:tc>
          <w:tcPr>
            <w:tcW w:w="833" w:type="dxa"/>
            <w:vAlign w:val="center"/>
          </w:tcPr>
          <w:p>
            <w:pPr>
              <w:numPr>
                <w:ilvl w:val="0"/>
                <w:numId w:val="15"/>
              </w:numPr>
              <w:tabs>
                <w:tab w:val="left" w:pos="176"/>
                <w:tab w:val="left" w:pos="612"/>
              </w:tabs>
              <w:jc w:val="center"/>
              <w:rPr>
                <w:rFonts w:ascii="宋体" w:hAnsi="宋体" w:cs="宋体"/>
                <w:color w:val="auto"/>
                <w:sz w:val="24"/>
                <w:highlight w:val="none"/>
              </w:rPr>
            </w:pPr>
          </w:p>
        </w:tc>
        <w:tc>
          <w:tcPr>
            <w:tcW w:w="8470" w:type="dxa"/>
            <w:vAlign w:val="center"/>
          </w:tcPr>
          <w:p>
            <w:pPr>
              <w:rPr>
                <w:rFonts w:ascii="宋体" w:hAnsi="宋体" w:cs="宋体"/>
                <w:color w:val="auto"/>
                <w:sz w:val="24"/>
                <w:highlight w:val="none"/>
              </w:rPr>
            </w:pPr>
            <w:r>
              <w:rPr>
                <w:rFonts w:ascii="宋体" w:hAnsi="宋体" w:cs="宋体" w:hint="eastAsia"/>
                <w:color w:val="auto"/>
                <w:sz w:val="24"/>
                <w:highlight w:val="none"/>
              </w:rPr>
              <w:t>投标报价按照招标文件要求进行报价的；</w:t>
            </w:r>
          </w:p>
        </w:tc>
      </w:tr>
      <w:tr>
        <w:tblPrEx>
          <w:tblW w:w="9303" w:type="dxa"/>
          <w:tblInd w:w="108" w:type="dxa"/>
          <w:tblLayout w:type="fixed"/>
          <w:tblCellMar>
            <w:top w:w="0" w:type="dxa"/>
            <w:left w:w="108" w:type="dxa"/>
            <w:bottom w:w="0" w:type="dxa"/>
            <w:right w:w="108" w:type="dxa"/>
          </w:tblCellMar>
        </w:tblPrEx>
        <w:trPr>
          <w:cantSplit/>
          <w:trHeight w:val="642"/>
        </w:trPr>
        <w:tc>
          <w:tcPr>
            <w:tcW w:w="833" w:type="dxa"/>
            <w:vAlign w:val="center"/>
          </w:tcPr>
          <w:p>
            <w:pPr>
              <w:numPr>
                <w:ilvl w:val="0"/>
                <w:numId w:val="15"/>
              </w:numPr>
              <w:tabs>
                <w:tab w:val="left" w:pos="176"/>
                <w:tab w:val="left" w:pos="612"/>
              </w:tabs>
              <w:jc w:val="center"/>
              <w:rPr>
                <w:rFonts w:ascii="宋体" w:hAnsi="宋体" w:cs="宋体"/>
                <w:color w:val="auto"/>
                <w:sz w:val="24"/>
                <w:highlight w:val="none"/>
              </w:rPr>
            </w:pPr>
          </w:p>
        </w:tc>
        <w:tc>
          <w:tcPr>
            <w:tcW w:w="8470" w:type="dxa"/>
            <w:vAlign w:val="center"/>
          </w:tcPr>
          <w:p>
            <w:pPr>
              <w:rPr>
                <w:rFonts w:ascii="宋体" w:hAnsi="宋体" w:cs="宋体"/>
                <w:color w:val="auto"/>
                <w:sz w:val="24"/>
                <w:highlight w:val="none"/>
              </w:rPr>
            </w:pPr>
            <w:r>
              <w:rPr>
                <w:rFonts w:ascii="宋体" w:hAnsi="宋体" w:cs="宋体" w:hint="eastAsia"/>
                <w:color w:val="auto"/>
                <w:sz w:val="24"/>
                <w:highlight w:val="none"/>
              </w:rPr>
              <w:t>投标文件未出现选择性报价或有附加条件报价的情形；</w:t>
            </w:r>
          </w:p>
        </w:tc>
      </w:tr>
      <w:tr>
        <w:tblPrEx>
          <w:tblW w:w="9303" w:type="dxa"/>
          <w:tblInd w:w="108" w:type="dxa"/>
          <w:tblLayout w:type="fixed"/>
          <w:tblCellMar>
            <w:top w:w="0" w:type="dxa"/>
            <w:left w:w="108" w:type="dxa"/>
            <w:bottom w:w="0" w:type="dxa"/>
            <w:right w:w="108" w:type="dxa"/>
          </w:tblCellMar>
        </w:tblPrEx>
        <w:trPr>
          <w:cantSplit/>
          <w:trHeight w:val="642"/>
        </w:trPr>
        <w:tc>
          <w:tcPr>
            <w:tcW w:w="833" w:type="dxa"/>
            <w:vAlign w:val="center"/>
          </w:tcPr>
          <w:p>
            <w:pPr>
              <w:numPr>
                <w:ilvl w:val="0"/>
                <w:numId w:val="15"/>
              </w:numPr>
              <w:tabs>
                <w:tab w:val="left" w:pos="176"/>
                <w:tab w:val="left" w:pos="612"/>
              </w:tabs>
              <w:jc w:val="center"/>
              <w:rPr>
                <w:rFonts w:ascii="宋体" w:hAnsi="宋体" w:cs="宋体"/>
                <w:color w:val="auto"/>
                <w:sz w:val="24"/>
                <w:highlight w:val="none"/>
              </w:rPr>
            </w:pPr>
          </w:p>
        </w:tc>
        <w:tc>
          <w:tcPr>
            <w:tcW w:w="8470" w:type="dxa"/>
            <w:vAlign w:val="center"/>
          </w:tcPr>
          <w:p>
            <w:pPr>
              <w:rPr>
                <w:rFonts w:ascii="宋体" w:hAnsi="宋体" w:cs="宋体"/>
                <w:color w:val="auto"/>
                <w:sz w:val="24"/>
                <w:highlight w:val="none"/>
              </w:rPr>
            </w:pPr>
            <w:r>
              <w:rPr>
                <w:rFonts w:ascii="宋体" w:hAnsi="宋体" w:cs="宋体" w:hint="eastAsia"/>
                <w:color w:val="auto"/>
                <w:sz w:val="24"/>
                <w:highlight w:val="none"/>
              </w:rPr>
              <w:t>投标文件完全满足招标文件的实质性条款（即标注★号条款）无负偏离的；</w:t>
            </w:r>
          </w:p>
        </w:tc>
      </w:tr>
      <w:tr>
        <w:tblPrEx>
          <w:tblW w:w="9303" w:type="dxa"/>
          <w:tblInd w:w="108" w:type="dxa"/>
          <w:tblLayout w:type="fixed"/>
          <w:tblCellMar>
            <w:top w:w="0" w:type="dxa"/>
            <w:left w:w="108" w:type="dxa"/>
            <w:bottom w:w="0" w:type="dxa"/>
            <w:right w:w="108" w:type="dxa"/>
          </w:tblCellMar>
        </w:tblPrEx>
        <w:trPr>
          <w:cantSplit/>
          <w:trHeight w:val="642"/>
        </w:trPr>
        <w:tc>
          <w:tcPr>
            <w:tcW w:w="833" w:type="dxa"/>
            <w:vAlign w:val="center"/>
          </w:tcPr>
          <w:p>
            <w:pPr>
              <w:numPr>
                <w:ilvl w:val="0"/>
                <w:numId w:val="15"/>
              </w:numPr>
              <w:tabs>
                <w:tab w:val="left" w:pos="176"/>
                <w:tab w:val="left" w:pos="612"/>
              </w:tabs>
              <w:jc w:val="center"/>
              <w:rPr>
                <w:rFonts w:ascii="宋体" w:hAnsi="宋体" w:cs="宋体"/>
                <w:color w:val="auto"/>
                <w:sz w:val="24"/>
                <w:highlight w:val="none"/>
              </w:rPr>
            </w:pPr>
          </w:p>
        </w:tc>
        <w:tc>
          <w:tcPr>
            <w:tcW w:w="8470" w:type="dxa"/>
            <w:vAlign w:val="center"/>
          </w:tcPr>
          <w:p>
            <w:pPr>
              <w:rPr>
                <w:rFonts w:ascii="宋体" w:hAnsi="宋体" w:cs="宋体"/>
                <w:color w:val="auto"/>
                <w:sz w:val="24"/>
                <w:highlight w:val="none"/>
              </w:rPr>
            </w:pPr>
            <w:r>
              <w:rPr>
                <w:rFonts w:ascii="宋体" w:hint="eastAsia"/>
                <w:bCs/>
                <w:color w:val="auto"/>
                <w:sz w:val="24"/>
                <w:highlight w:val="none"/>
              </w:rPr>
              <w:t>投标人按招标文件要求提供本国产品\服务</w:t>
            </w:r>
            <w:r>
              <w:rPr>
                <w:rStyle w:val="CommentReference"/>
                <w:rFonts w:asciiTheme="minorHAnsi" w:eastAsiaTheme="minorEastAsia" w:hAnsiTheme="minorHAnsi" w:cstheme="minorBidi" w:hint="eastAsia"/>
                <w:color w:val="auto"/>
                <w:sz w:val="24"/>
                <w:szCs w:val="24"/>
                <w:highlight w:val="none"/>
              </w:rPr>
              <w:t>；</w:t>
            </w:r>
          </w:p>
        </w:tc>
      </w:tr>
      <w:tr>
        <w:tblPrEx>
          <w:tblW w:w="9303" w:type="dxa"/>
          <w:tblInd w:w="108" w:type="dxa"/>
          <w:tblLayout w:type="fixed"/>
          <w:tblCellMar>
            <w:top w:w="0" w:type="dxa"/>
            <w:left w:w="108" w:type="dxa"/>
            <w:bottom w:w="0" w:type="dxa"/>
            <w:right w:w="108" w:type="dxa"/>
          </w:tblCellMar>
        </w:tblPrEx>
        <w:trPr>
          <w:cantSplit/>
          <w:trHeight w:val="642"/>
        </w:trPr>
        <w:tc>
          <w:tcPr>
            <w:tcW w:w="833" w:type="dxa"/>
            <w:vAlign w:val="center"/>
          </w:tcPr>
          <w:p>
            <w:pPr>
              <w:numPr>
                <w:ilvl w:val="0"/>
                <w:numId w:val="15"/>
              </w:numPr>
              <w:tabs>
                <w:tab w:val="left" w:pos="176"/>
                <w:tab w:val="left" w:pos="612"/>
              </w:tabs>
              <w:jc w:val="center"/>
              <w:rPr>
                <w:rFonts w:ascii="宋体" w:hAnsi="宋体" w:cs="宋体"/>
                <w:color w:val="auto"/>
                <w:sz w:val="24"/>
                <w:highlight w:val="none"/>
              </w:rPr>
            </w:pPr>
          </w:p>
        </w:tc>
        <w:tc>
          <w:tcPr>
            <w:tcW w:w="8470" w:type="dxa"/>
            <w:vAlign w:val="center"/>
          </w:tcPr>
          <w:p>
            <w:pPr>
              <w:rPr>
                <w:rFonts w:ascii="宋体" w:hAnsi="宋体" w:cs="宋体"/>
                <w:color w:val="auto"/>
                <w:sz w:val="24"/>
                <w:highlight w:val="none"/>
              </w:rPr>
            </w:pPr>
            <w:r>
              <w:rPr>
                <w:rFonts w:asciiTheme="minorEastAsia" w:eastAsiaTheme="minorEastAsia" w:hAnsiTheme="minorEastAsia"/>
                <w:color w:val="auto"/>
                <w:sz w:val="24"/>
                <w:highlight w:val="none"/>
              </w:rPr>
              <w:t>投标文件</w:t>
            </w:r>
            <w:r>
              <w:rPr>
                <w:rFonts w:asciiTheme="minorEastAsia" w:eastAsiaTheme="minorEastAsia" w:hAnsiTheme="minorEastAsia" w:hint="eastAsia"/>
                <w:color w:val="auto"/>
                <w:sz w:val="24"/>
                <w:highlight w:val="none"/>
              </w:rPr>
              <w:t>不</w:t>
            </w:r>
            <w:r>
              <w:rPr>
                <w:rFonts w:asciiTheme="minorEastAsia" w:eastAsiaTheme="minorEastAsia" w:hAnsiTheme="minorEastAsia"/>
                <w:color w:val="auto"/>
                <w:sz w:val="24"/>
                <w:highlight w:val="none"/>
              </w:rPr>
              <w:t>存在</w:t>
            </w:r>
            <w:r>
              <w:rPr>
                <w:rFonts w:asciiTheme="minorEastAsia" w:eastAsiaTheme="minorEastAsia" w:hAnsiTheme="minorEastAsia" w:hint="eastAsia"/>
                <w:color w:val="auto"/>
                <w:sz w:val="24"/>
                <w:highlight w:val="none"/>
              </w:rPr>
              <w:t>列放位置错误，导致属于信息公开内容没有被公开的</w:t>
            </w:r>
            <w:r>
              <w:rPr>
                <w:rFonts w:asciiTheme="minorEastAsia" w:eastAsiaTheme="minorEastAsia" w:hAnsiTheme="minorEastAsia"/>
                <w:color w:val="auto"/>
                <w:sz w:val="24"/>
                <w:highlight w:val="none"/>
              </w:rPr>
              <w:t>；</w:t>
            </w:r>
          </w:p>
        </w:tc>
      </w:tr>
      <w:tr>
        <w:tblPrEx>
          <w:tblW w:w="9303" w:type="dxa"/>
          <w:tblInd w:w="108" w:type="dxa"/>
          <w:tblLayout w:type="fixed"/>
          <w:tblCellMar>
            <w:top w:w="0" w:type="dxa"/>
            <w:left w:w="108" w:type="dxa"/>
            <w:bottom w:w="0" w:type="dxa"/>
            <w:right w:w="108" w:type="dxa"/>
          </w:tblCellMar>
        </w:tblPrEx>
        <w:trPr>
          <w:cantSplit/>
          <w:trHeight w:val="642"/>
        </w:trPr>
        <w:tc>
          <w:tcPr>
            <w:tcW w:w="833" w:type="dxa"/>
            <w:vAlign w:val="center"/>
          </w:tcPr>
          <w:p>
            <w:pPr>
              <w:numPr>
                <w:ilvl w:val="0"/>
                <w:numId w:val="15"/>
              </w:numPr>
              <w:tabs>
                <w:tab w:val="left" w:pos="176"/>
                <w:tab w:val="left" w:pos="612"/>
              </w:tabs>
              <w:jc w:val="center"/>
              <w:rPr>
                <w:rFonts w:ascii="宋体" w:hAnsi="宋体" w:cs="宋体"/>
                <w:color w:val="auto"/>
                <w:sz w:val="24"/>
                <w:highlight w:val="none"/>
              </w:rPr>
            </w:pPr>
          </w:p>
        </w:tc>
        <w:tc>
          <w:tcPr>
            <w:tcW w:w="8470" w:type="dxa"/>
            <w:vAlign w:val="center"/>
          </w:tcPr>
          <w:p>
            <w:pPr>
              <w:rPr>
                <w:rFonts w:ascii="宋体" w:hAnsi="宋体" w:cs="宋体"/>
                <w:color w:val="auto"/>
                <w:sz w:val="24"/>
                <w:highlight w:val="none"/>
              </w:rPr>
            </w:pPr>
            <w:r>
              <w:rPr>
                <w:rFonts w:asciiTheme="minorEastAsia" w:eastAsiaTheme="minorEastAsia" w:hAnsiTheme="minorEastAsia"/>
                <w:color w:val="auto"/>
                <w:sz w:val="24"/>
                <w:highlight w:val="none"/>
              </w:rPr>
              <w:t>投标文件电子文档</w:t>
            </w:r>
            <w:r>
              <w:rPr>
                <w:rFonts w:asciiTheme="minorEastAsia" w:eastAsiaTheme="minorEastAsia" w:hAnsiTheme="minorEastAsia" w:hint="eastAsia"/>
                <w:color w:val="auto"/>
                <w:sz w:val="24"/>
                <w:highlight w:val="none"/>
              </w:rPr>
              <w:t>未</w:t>
            </w:r>
            <w:r>
              <w:rPr>
                <w:rFonts w:asciiTheme="minorEastAsia" w:eastAsiaTheme="minorEastAsia" w:hAnsiTheme="minorEastAsia"/>
                <w:color w:val="auto"/>
                <w:sz w:val="24"/>
                <w:highlight w:val="none"/>
              </w:rPr>
              <w:t>带病毒；</w:t>
            </w:r>
          </w:p>
        </w:tc>
      </w:tr>
      <w:tr>
        <w:tblPrEx>
          <w:tblW w:w="9303" w:type="dxa"/>
          <w:tblInd w:w="108" w:type="dxa"/>
          <w:tblLayout w:type="fixed"/>
          <w:tblCellMar>
            <w:top w:w="0" w:type="dxa"/>
            <w:left w:w="108" w:type="dxa"/>
            <w:bottom w:w="0" w:type="dxa"/>
            <w:right w:w="108" w:type="dxa"/>
          </w:tblCellMar>
        </w:tblPrEx>
        <w:trPr>
          <w:cantSplit/>
          <w:trHeight w:val="642"/>
        </w:trPr>
        <w:tc>
          <w:tcPr>
            <w:tcW w:w="833" w:type="dxa"/>
            <w:vAlign w:val="center"/>
          </w:tcPr>
          <w:p>
            <w:pPr>
              <w:numPr>
                <w:ilvl w:val="0"/>
                <w:numId w:val="15"/>
              </w:numPr>
              <w:tabs>
                <w:tab w:val="left" w:pos="176"/>
                <w:tab w:val="left" w:pos="612"/>
              </w:tabs>
              <w:jc w:val="center"/>
              <w:rPr>
                <w:rFonts w:ascii="宋体" w:hAnsi="宋体" w:cs="宋体"/>
                <w:color w:val="auto"/>
                <w:sz w:val="24"/>
                <w:highlight w:val="none"/>
              </w:rPr>
            </w:pPr>
          </w:p>
        </w:tc>
        <w:tc>
          <w:tcPr>
            <w:tcW w:w="8470" w:type="dxa"/>
            <w:vAlign w:val="center"/>
          </w:tcPr>
          <w:p>
            <w:pPr>
              <w:rPr>
                <w:rFonts w:ascii="宋体" w:hAnsi="宋体" w:cs="宋体"/>
                <w:color w:val="auto"/>
                <w:sz w:val="24"/>
                <w:highlight w:val="none"/>
              </w:rPr>
            </w:pPr>
            <w:r>
              <w:rPr>
                <w:rFonts w:asciiTheme="minorEastAsia" w:eastAsiaTheme="minorEastAsia" w:hAnsiTheme="minorEastAsia"/>
                <w:color w:val="auto"/>
                <w:sz w:val="24"/>
                <w:highlight w:val="none"/>
              </w:rPr>
              <w:t>投标文件</w:t>
            </w:r>
            <w:r>
              <w:rPr>
                <w:rFonts w:asciiTheme="minorEastAsia" w:eastAsiaTheme="minorEastAsia" w:hAnsiTheme="minorEastAsia" w:hint="eastAsia"/>
                <w:color w:val="auto"/>
                <w:sz w:val="24"/>
                <w:highlight w:val="none"/>
              </w:rPr>
              <w:t>未</w:t>
            </w:r>
            <w:r>
              <w:rPr>
                <w:rFonts w:asciiTheme="minorEastAsia" w:eastAsiaTheme="minorEastAsia" w:hAnsiTheme="minorEastAsia"/>
                <w:color w:val="auto"/>
                <w:sz w:val="24"/>
                <w:highlight w:val="none"/>
              </w:rPr>
              <w:t>用不属于本公司的电子密钥进行加密的；</w:t>
            </w:r>
          </w:p>
        </w:tc>
      </w:tr>
      <w:tr>
        <w:tblPrEx>
          <w:tblW w:w="9303" w:type="dxa"/>
          <w:tblInd w:w="108" w:type="dxa"/>
          <w:tblLayout w:type="fixed"/>
          <w:tblCellMar>
            <w:top w:w="0" w:type="dxa"/>
            <w:left w:w="108" w:type="dxa"/>
            <w:bottom w:w="0" w:type="dxa"/>
            <w:right w:w="108" w:type="dxa"/>
          </w:tblCellMar>
        </w:tblPrEx>
        <w:trPr>
          <w:cantSplit/>
          <w:trHeight w:val="642"/>
        </w:trPr>
        <w:tc>
          <w:tcPr>
            <w:tcW w:w="833" w:type="dxa"/>
            <w:vAlign w:val="center"/>
          </w:tcPr>
          <w:p>
            <w:pPr>
              <w:numPr>
                <w:ilvl w:val="0"/>
                <w:numId w:val="15"/>
              </w:numPr>
              <w:tabs>
                <w:tab w:val="left" w:pos="176"/>
                <w:tab w:val="left" w:pos="612"/>
              </w:tabs>
              <w:jc w:val="center"/>
              <w:rPr>
                <w:rFonts w:ascii="宋体" w:hAnsi="宋体" w:cs="宋体"/>
                <w:color w:val="auto"/>
                <w:sz w:val="24"/>
                <w:highlight w:val="none"/>
              </w:rPr>
            </w:pPr>
          </w:p>
        </w:tc>
        <w:tc>
          <w:tcPr>
            <w:tcW w:w="8470" w:type="dxa"/>
            <w:vAlign w:val="center"/>
          </w:tcPr>
          <w:p>
            <w:pPr>
              <w:rPr>
                <w:rFonts w:ascii="宋体" w:hAnsi="宋体" w:cs="宋体"/>
                <w:color w:val="auto"/>
                <w:sz w:val="24"/>
                <w:highlight w:val="none"/>
              </w:rPr>
            </w:pPr>
            <w:r>
              <w:rPr>
                <w:rFonts w:asciiTheme="minorEastAsia" w:eastAsiaTheme="minorEastAsia" w:hAnsiTheme="minorEastAsia" w:cs="宋体" w:hint="eastAsia"/>
                <w:color w:val="auto"/>
                <w:sz w:val="24"/>
                <w:highlight w:val="none"/>
              </w:rPr>
              <w:t>投标文件没有招标文件中规定的其它无效投标条款的；</w:t>
            </w:r>
          </w:p>
        </w:tc>
      </w:tr>
      <w:tr>
        <w:tblPrEx>
          <w:tblW w:w="9303" w:type="dxa"/>
          <w:tblInd w:w="108" w:type="dxa"/>
          <w:tblLayout w:type="fixed"/>
          <w:tblCellMar>
            <w:top w:w="0" w:type="dxa"/>
            <w:left w:w="108" w:type="dxa"/>
            <w:bottom w:w="0" w:type="dxa"/>
            <w:right w:w="108" w:type="dxa"/>
          </w:tblCellMar>
        </w:tblPrEx>
        <w:trPr>
          <w:cantSplit/>
          <w:trHeight w:val="642"/>
        </w:trPr>
        <w:tc>
          <w:tcPr>
            <w:tcW w:w="833" w:type="dxa"/>
            <w:vAlign w:val="center"/>
          </w:tcPr>
          <w:p>
            <w:pPr>
              <w:numPr>
                <w:ilvl w:val="0"/>
                <w:numId w:val="15"/>
              </w:numPr>
              <w:tabs>
                <w:tab w:val="left" w:pos="176"/>
                <w:tab w:val="left" w:pos="612"/>
              </w:tabs>
              <w:jc w:val="center"/>
              <w:rPr>
                <w:rFonts w:ascii="宋体" w:hAnsi="宋体" w:cs="宋体"/>
                <w:color w:val="auto"/>
                <w:sz w:val="24"/>
                <w:highlight w:val="none"/>
              </w:rPr>
            </w:pPr>
          </w:p>
        </w:tc>
        <w:tc>
          <w:tcPr>
            <w:tcW w:w="8470" w:type="dxa"/>
            <w:vAlign w:val="center"/>
          </w:tcPr>
          <w:p>
            <w:pPr>
              <w:rPr>
                <w:rFonts w:ascii="宋体" w:hAnsi="宋体" w:eastAsiaTheme="minorEastAsia" w:cs="宋体"/>
                <w:color w:val="auto"/>
                <w:sz w:val="24"/>
                <w:highlight w:val="none"/>
              </w:rPr>
            </w:pPr>
            <w:r>
              <w:rPr>
                <w:rFonts w:asciiTheme="minorEastAsia" w:eastAsiaTheme="minorEastAsia" w:hAnsiTheme="minorEastAsia" w:cs="宋体" w:hint="eastAsia"/>
                <w:color w:val="auto"/>
                <w:sz w:val="24"/>
                <w:highlight w:val="none"/>
              </w:rPr>
              <w:t>按有关法律、法规、规章不属于投标无效的；</w:t>
            </w:r>
          </w:p>
        </w:tc>
      </w:tr>
      <w:tr>
        <w:tblPrEx>
          <w:tblW w:w="9303" w:type="dxa"/>
          <w:tblInd w:w="108" w:type="dxa"/>
          <w:tblLayout w:type="fixed"/>
          <w:tblCellMar>
            <w:top w:w="0" w:type="dxa"/>
            <w:left w:w="108" w:type="dxa"/>
            <w:bottom w:w="0" w:type="dxa"/>
            <w:right w:w="108" w:type="dxa"/>
          </w:tblCellMar>
        </w:tblPrEx>
        <w:trPr>
          <w:cantSplit/>
          <w:trHeight w:val="642"/>
        </w:trPr>
        <w:tc>
          <w:tcPr>
            <w:tcW w:w="833" w:type="dxa"/>
            <w:vAlign w:val="center"/>
          </w:tcPr>
          <w:p>
            <w:pPr>
              <w:numPr>
                <w:ilvl w:val="0"/>
                <w:numId w:val="15"/>
              </w:numPr>
              <w:tabs>
                <w:tab w:val="left" w:pos="176"/>
                <w:tab w:val="left" w:pos="612"/>
              </w:tabs>
              <w:jc w:val="center"/>
              <w:rPr>
                <w:rFonts w:ascii="宋体" w:hAnsi="宋体" w:cs="宋体"/>
                <w:color w:val="auto"/>
                <w:sz w:val="24"/>
                <w:highlight w:val="none"/>
              </w:rPr>
            </w:pPr>
          </w:p>
        </w:tc>
        <w:tc>
          <w:tcPr>
            <w:tcW w:w="8470" w:type="dxa"/>
            <w:vAlign w:val="center"/>
          </w:tcPr>
          <w:p>
            <w:pPr>
              <w:rPr>
                <w:rFonts w:asciiTheme="minorEastAsia" w:hAnsiTheme="minorEastAsia" w:cs="宋体"/>
                <w:color w:val="auto"/>
                <w:sz w:val="24"/>
                <w:highlight w:val="none"/>
              </w:rPr>
            </w:pPr>
            <w:r>
              <w:rPr>
                <w:rFonts w:asciiTheme="minorEastAsia" w:eastAsiaTheme="minorEastAsia" w:hAnsiTheme="minorEastAsia" w:cs="宋体" w:hint="eastAsia"/>
                <w:color w:val="auto"/>
                <w:sz w:val="24"/>
                <w:highlight w:val="none"/>
              </w:rPr>
              <w:t>供应商上传投标文件的电脑机器码或IP地址相同的。</w:t>
            </w:r>
          </w:p>
        </w:tc>
      </w:tr>
    </w:tbl>
    <w:p/>
    <w:p>
      <w:pPr>
        <w:tabs>
          <w:tab w:val="left" w:pos="420"/>
          <w:tab w:val="left" w:pos="630"/>
        </w:tabs>
        <w:autoSpaceDE w:val="0"/>
        <w:autoSpaceDN w:val="0"/>
        <w:adjustRightInd w:val="0"/>
        <w:spacing w:line="360" w:lineRule="auto"/>
        <w:rPr>
          <w:rFonts w:asciiTheme="minorEastAsia" w:eastAsiaTheme="minorEastAsia" w:hAnsiTheme="minorEastAsia"/>
          <w:b/>
          <w:bCs/>
          <w:color w:val="000000" w:themeColor="text1"/>
          <w:sz w:val="24"/>
          <w14:textFill>
            <w14:solidFill>
              <w14:schemeClr w14:val="tx1"/>
            </w14:solidFill>
          </w14:textFill>
        </w:rPr>
      </w:pPr>
      <w:r>
        <w:rPr>
          <w:rFonts w:asciiTheme="minorEastAsia" w:eastAsiaTheme="minorEastAsia" w:hAnsiTheme="minorEastAsia" w:hint="eastAsia"/>
          <w:color w:val="000000" w:themeColor="text1"/>
          <w:sz w:val="24"/>
          <w14:textFill>
            <w14:solidFill>
              <w14:schemeClr w14:val="tx1"/>
            </w14:solidFill>
          </w14:textFill>
        </w:rPr>
        <w:t>说</w:t>
      </w:r>
      <w:r>
        <w:rPr>
          <w:rFonts w:asciiTheme="minorEastAsia" w:eastAsiaTheme="minorEastAsia" w:hAnsiTheme="minorEastAsia" w:hint="eastAsia"/>
          <w:sz w:val="24"/>
        </w:rPr>
        <w:t>明：投标人必须严格按照《投标文件初审》的评审内容的要求如实提供证明材料</w:t>
      </w:r>
      <w:r>
        <w:rPr>
          <w:rFonts w:asciiTheme="minorEastAsia" w:eastAsiaTheme="minorEastAsia" w:hAnsiTheme="minorEastAsia" w:hint="eastAsia"/>
          <w:bCs/>
          <w:sz w:val="24"/>
        </w:rPr>
        <w:t>,</w:t>
      </w:r>
      <w:r>
        <w:rPr>
          <w:rFonts w:asciiTheme="minorEastAsia" w:eastAsiaTheme="minorEastAsia" w:hAnsiTheme="minorEastAsia" w:hint="eastAsia"/>
          <w:sz w:val="24"/>
        </w:rPr>
        <w:t>对缺漏或不符合项将直接导致无效投标</w:t>
      </w:r>
      <w:r>
        <w:rPr>
          <w:rFonts w:asciiTheme="minorEastAsia" w:eastAsiaTheme="minorEastAsia" w:hAnsiTheme="minorEastAsia" w:cs="宋体" w:hint="eastAsia"/>
          <w:sz w:val="24"/>
        </w:rPr>
        <w:t>。</w:t>
      </w:r>
    </w:p>
    <w:p>
      <w:pPr>
        <w:widowControl/>
        <w:jc w:val="left"/>
        <w:rPr>
          <w:rFonts w:ascii="黑体" w:eastAsia="黑体" w:hAnsi="宋体" w:cs="宋体"/>
          <w:sz w:val="28"/>
          <w:szCs w:val="28"/>
        </w:rPr>
      </w:pPr>
      <w:r>
        <w:rPr>
          <w:rFonts w:ascii="黑体" w:eastAsia="黑体" w:hAnsi="宋体" w:cs="宋体"/>
          <w:sz w:val="28"/>
          <w:szCs w:val="28"/>
        </w:rPr>
        <w:br w:type="page"/>
      </w:r>
    </w:p>
    <w:p>
      <w:pPr>
        <w:widowControl/>
        <w:jc w:val="center"/>
        <w:rPr>
          <w:rFonts w:ascii="黑体" w:eastAsia="黑体" w:hAnsi="宋体" w:cs="宋体"/>
          <w:color w:val="FF0000"/>
          <w:sz w:val="28"/>
          <w:szCs w:val="28"/>
        </w:rPr>
      </w:pPr>
      <w:r>
        <w:rPr>
          <w:rFonts w:ascii="黑体" w:eastAsia="黑体" w:hAnsi="宋体" w:cs="宋体" w:hint="eastAsia"/>
          <w:sz w:val="28"/>
          <w:szCs w:val="28"/>
        </w:rPr>
        <w:t>综合评分表</w:t>
      </w:r>
    </w:p>
    <w:tbl>
      <w:tblPr>
        <w:tblStyle w:val="TableNormal"/>
        <w:tblW w:w="9242"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0" w:type="dxa"/>
          <w:left w:w="108" w:type="dxa"/>
          <w:bottom w:w="0" w:type="dxa"/>
          <w:right w:w="108" w:type="dxa"/>
        </w:tblCellMar>
      </w:tblPr>
      <w:tblGrid>
        <w:gridCol w:w="680"/>
        <w:gridCol w:w="1355"/>
        <w:gridCol w:w="5730"/>
        <w:gridCol w:w="685"/>
        <w:gridCol w:w="792"/>
      </w:tblGrid>
      <w:tr>
        <w:tblPrEx>
          <w:tblW w:w="9242"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0" w:type="dxa"/>
            <w:left w:w="108" w:type="dxa"/>
            <w:bottom w:w="0" w:type="dxa"/>
            <w:right w:w="108" w:type="dxa"/>
          </w:tblCellMar>
        </w:tblPrEx>
        <w:trPr>
          <w:trHeight w:val="788"/>
        </w:trPr>
        <w:tc>
          <w:tcPr>
            <w:tcW w:w="680" w:type="dxa"/>
            <w:vAlign w:val="center"/>
          </w:tcPr>
          <w:p>
            <w:pPr>
              <w:ind w:left="-78" w:right="-74" w:leftChars="-37" w:rightChars="-35"/>
              <w:jc w:val="center"/>
              <w:rPr>
                <w:rFonts w:asciiTheme="minorEastAsia" w:eastAsiaTheme="minorEastAsia" w:hAnsiTheme="minorEastAsia" w:cs="宋体"/>
                <w:b/>
                <w:sz w:val="24"/>
              </w:rPr>
            </w:pPr>
            <w:r>
              <w:rPr>
                <w:rFonts w:asciiTheme="minorEastAsia" w:eastAsiaTheme="minorEastAsia" w:hAnsiTheme="minorEastAsia" w:cs="宋体" w:hint="eastAsia"/>
                <w:b/>
                <w:sz w:val="24"/>
              </w:rPr>
              <w:t>评审部分</w:t>
            </w:r>
          </w:p>
        </w:tc>
        <w:tc>
          <w:tcPr>
            <w:tcW w:w="1355" w:type="dxa"/>
            <w:vAlign w:val="center"/>
          </w:tcPr>
          <w:p>
            <w:pPr>
              <w:ind w:left="-78" w:right="-74" w:leftChars="-37" w:rightChars="-35"/>
              <w:jc w:val="center"/>
              <w:rPr>
                <w:rFonts w:asciiTheme="minorEastAsia" w:eastAsiaTheme="minorEastAsia" w:hAnsiTheme="minorEastAsia" w:cs="宋体"/>
                <w:b/>
                <w:sz w:val="24"/>
              </w:rPr>
            </w:pPr>
            <w:r>
              <w:rPr>
                <w:rFonts w:asciiTheme="minorEastAsia" w:eastAsiaTheme="minorEastAsia" w:hAnsiTheme="minorEastAsia" w:cs="宋体" w:hint="eastAsia"/>
                <w:b/>
                <w:sz w:val="24"/>
              </w:rPr>
              <w:t>评审因素</w:t>
            </w:r>
          </w:p>
        </w:tc>
        <w:tc>
          <w:tcPr>
            <w:tcW w:w="5730" w:type="dxa"/>
            <w:vAlign w:val="center"/>
          </w:tcPr>
          <w:p>
            <w:pPr>
              <w:ind w:left="-78" w:right="-74" w:leftChars="-37" w:rightChars="-35"/>
              <w:jc w:val="center"/>
              <w:rPr>
                <w:rFonts w:asciiTheme="minorEastAsia" w:eastAsiaTheme="minorEastAsia" w:hAnsiTheme="minorEastAsia" w:cs="宋体"/>
                <w:b/>
                <w:sz w:val="24"/>
              </w:rPr>
            </w:pPr>
            <w:r>
              <w:rPr>
                <w:rFonts w:asciiTheme="minorEastAsia" w:eastAsiaTheme="minorEastAsia" w:hAnsiTheme="minorEastAsia" w:cs="宋体" w:hint="eastAsia"/>
                <w:b/>
                <w:sz w:val="24"/>
              </w:rPr>
              <w:t>评分细则</w:t>
            </w:r>
          </w:p>
        </w:tc>
        <w:tc>
          <w:tcPr>
            <w:tcW w:w="685" w:type="dxa"/>
            <w:tcBorders>
              <w:right w:val="single" w:sz="4" w:space="0" w:color="auto"/>
            </w:tcBorders>
            <w:vAlign w:val="center"/>
          </w:tcPr>
          <w:p>
            <w:pPr>
              <w:ind w:left="-78" w:right="-74" w:leftChars="-37" w:rightChars="-35"/>
              <w:jc w:val="center"/>
              <w:rPr>
                <w:rFonts w:asciiTheme="minorEastAsia" w:eastAsiaTheme="minorEastAsia" w:hAnsiTheme="minorEastAsia" w:cs="宋体"/>
                <w:b/>
                <w:sz w:val="24"/>
              </w:rPr>
            </w:pPr>
            <w:r>
              <w:rPr>
                <w:rFonts w:asciiTheme="minorEastAsia" w:eastAsiaTheme="minorEastAsia" w:hAnsiTheme="minorEastAsia" w:cs="宋体" w:hint="eastAsia"/>
                <w:b/>
                <w:sz w:val="24"/>
              </w:rPr>
              <w:t>权重（%）</w:t>
            </w:r>
          </w:p>
        </w:tc>
        <w:tc>
          <w:tcPr>
            <w:tcW w:w="792" w:type="dxa"/>
            <w:tcBorders>
              <w:left w:val="single" w:sz="4" w:space="0" w:color="auto"/>
            </w:tcBorders>
            <w:vAlign w:val="center"/>
          </w:tcPr>
          <w:p>
            <w:pPr>
              <w:ind w:left="-78" w:right="-74" w:leftChars="-37" w:rightChars="-35"/>
              <w:jc w:val="center"/>
              <w:rPr>
                <w:rFonts w:asciiTheme="minorEastAsia" w:eastAsiaTheme="minorEastAsia" w:hAnsiTheme="minorEastAsia" w:cs="宋体"/>
                <w:b/>
                <w:sz w:val="24"/>
              </w:rPr>
            </w:pPr>
            <w:r>
              <w:rPr>
                <w:rFonts w:asciiTheme="minorEastAsia" w:eastAsiaTheme="minorEastAsia" w:hAnsiTheme="minorEastAsia" w:cs="宋体" w:hint="eastAsia"/>
                <w:b/>
                <w:sz w:val="24"/>
              </w:rPr>
              <w:t>分值（分）</w:t>
            </w:r>
          </w:p>
        </w:tc>
      </w:tr>
      <w:tr>
        <w:tblPrEx>
          <w:tblW w:w="9242" w:type="dxa"/>
          <w:tblInd w:w="93" w:type="dxa"/>
          <w:tblLayout w:type="fixed"/>
          <w:tblCellMar>
            <w:top w:w="0" w:type="dxa"/>
            <w:left w:w="108" w:type="dxa"/>
            <w:bottom w:w="0" w:type="dxa"/>
            <w:right w:w="108" w:type="dxa"/>
          </w:tblCellMar>
        </w:tblPrEx>
        <w:trPr>
          <w:trHeight w:val="441"/>
        </w:trPr>
        <w:tc>
          <w:tcPr>
            <w:tcW w:w="680" w:type="dxa"/>
            <w:vAlign w:val="center"/>
          </w:tcPr>
          <w:p>
            <w:pPr>
              <w:ind w:left="-78" w:right="-74" w:leftChars="-37" w:rightChars="-35"/>
              <w:jc w:val="center"/>
              <w:rPr>
                <w:rFonts w:asciiTheme="minorEastAsia" w:eastAsiaTheme="minorEastAsia" w:hAnsiTheme="minorEastAsia" w:cs="宋体"/>
                <w:b/>
                <w:color w:val="auto"/>
                <w:sz w:val="24"/>
              </w:rPr>
            </w:pPr>
            <w:r>
              <w:rPr>
                <w:rFonts w:asciiTheme="minorEastAsia" w:eastAsiaTheme="minorEastAsia" w:hAnsiTheme="minorEastAsia" w:cs="宋体" w:hint="eastAsia"/>
                <w:b/>
                <w:color w:val="auto"/>
                <w:sz w:val="24"/>
              </w:rPr>
              <w:t>一</w:t>
            </w:r>
          </w:p>
        </w:tc>
        <w:tc>
          <w:tcPr>
            <w:tcW w:w="8562" w:type="dxa"/>
            <w:gridSpan w:val="4"/>
            <w:vAlign w:val="center"/>
          </w:tcPr>
          <w:p>
            <w:pPr>
              <w:ind w:left="-78" w:right="-74" w:leftChars="-37" w:rightChars="-35"/>
              <w:jc w:val="center"/>
              <w:rPr>
                <w:rFonts w:asciiTheme="minorEastAsia" w:eastAsiaTheme="minorEastAsia" w:hAnsiTheme="minorEastAsia" w:cs="宋体"/>
                <w:b/>
                <w:color w:val="auto"/>
                <w:sz w:val="24"/>
              </w:rPr>
            </w:pPr>
            <w:r>
              <w:rPr>
                <w:rFonts w:asciiTheme="minorEastAsia" w:eastAsiaTheme="minorEastAsia" w:hAnsiTheme="minorEastAsia" w:hint="eastAsia"/>
                <w:b/>
                <w:color w:val="auto"/>
                <w:sz w:val="24"/>
              </w:rPr>
              <w:t>技术部分（</w:t>
            </w:r>
            <w:r>
              <w:rPr>
                <w:rFonts w:ascii="宋体" w:hAnsi="宋体" w:hint="eastAsia"/>
                <w:b/>
                <w:color w:val="auto"/>
                <w:sz w:val="24"/>
              </w:rPr>
              <w:t>合计</w:t>
            </w:r>
            <w:r>
              <w:rPr>
                <w:rFonts w:ascii="宋体" w:hAnsi="宋体" w:hint="eastAsia"/>
                <w:b/>
                <w:color w:val="auto"/>
                <w:sz w:val="24"/>
                <w:lang w:val="en-US" w:eastAsia="zh-CN"/>
              </w:rPr>
              <w:t>45</w:t>
            </w:r>
            <w:r>
              <w:rPr>
                <w:rFonts w:ascii="宋体" w:hAnsi="宋体" w:hint="eastAsia"/>
                <w:b/>
                <w:color w:val="auto"/>
                <w:sz w:val="24"/>
              </w:rPr>
              <w:t>分</w:t>
            </w:r>
            <w:r>
              <w:rPr>
                <w:rFonts w:asciiTheme="minorEastAsia" w:eastAsiaTheme="minorEastAsia" w:hAnsiTheme="minorEastAsia" w:hint="eastAsia"/>
                <w:b/>
                <w:color w:val="auto"/>
                <w:sz w:val="24"/>
              </w:rPr>
              <w:t>）</w:t>
            </w:r>
          </w:p>
        </w:tc>
      </w:tr>
      <w:tr>
        <w:tblPrEx>
          <w:tblW w:w="9242" w:type="dxa"/>
          <w:tblInd w:w="93" w:type="dxa"/>
          <w:tblLayout w:type="fixed"/>
          <w:tblCellMar>
            <w:top w:w="0" w:type="dxa"/>
            <w:left w:w="108" w:type="dxa"/>
            <w:bottom w:w="0" w:type="dxa"/>
            <w:right w:w="108" w:type="dxa"/>
          </w:tblCellMar>
        </w:tblPrEx>
        <w:trPr>
          <w:trHeight w:val="883"/>
        </w:trPr>
        <w:tc>
          <w:tcPr>
            <w:tcW w:w="680" w:type="dxa"/>
            <w:tcBorders>
              <w:bottom w:val="single" w:sz="4" w:space="0" w:color="auto"/>
            </w:tcBorders>
            <w:vAlign w:val="center"/>
          </w:tcPr>
          <w:p>
            <w:pPr>
              <w:pStyle w:val="1"/>
              <w:numPr>
                <w:ilvl w:val="0"/>
                <w:numId w:val="16"/>
              </w:numPr>
              <w:ind w:firstLineChars="0"/>
              <w:jc w:val="right"/>
              <w:rPr>
                <w:rFonts w:asciiTheme="minorEastAsia" w:eastAsiaTheme="minorEastAsia" w:hAnsiTheme="minorEastAsia"/>
                <w:color w:val="auto"/>
                <w:sz w:val="24"/>
              </w:rPr>
            </w:pPr>
          </w:p>
        </w:tc>
        <w:tc>
          <w:tcPr>
            <w:tcW w:w="1355" w:type="dxa"/>
            <w:vAlign w:val="center"/>
          </w:tcPr>
          <w:p>
            <w:pPr>
              <w:jc w:val="center"/>
              <w:rPr>
                <w:rFonts w:asciiTheme="minorEastAsia" w:eastAsiaTheme="minorEastAsia" w:hAnsiTheme="minorEastAsia" w:cs="宋体"/>
                <w:color w:val="auto"/>
                <w:sz w:val="24"/>
              </w:rPr>
            </w:pPr>
            <w:r>
              <w:rPr>
                <w:rFonts w:asciiTheme="minorEastAsia" w:eastAsiaTheme="minorEastAsia" w:hAnsiTheme="minorEastAsia" w:cs="宋体" w:hint="eastAsia"/>
                <w:color w:val="auto"/>
                <w:sz w:val="24"/>
              </w:rPr>
              <w:t>实施方案</w:t>
            </w:r>
          </w:p>
        </w:tc>
        <w:tc>
          <w:tcPr>
            <w:tcW w:w="5730" w:type="dxa"/>
            <w:vAlign w:val="center"/>
          </w:tcPr>
          <w:p>
            <w:pPr>
              <w:ind w:left="-78" w:right="-74" w:leftChars="-37" w:rightChars="-35"/>
              <w:jc w:val="left"/>
              <w:rPr>
                <w:rFonts w:asciiTheme="minorEastAsia" w:eastAsiaTheme="minorEastAsia" w:hAnsiTheme="minorEastAsia" w:cs="宋体" w:hint="eastAsia"/>
                <w:color w:val="auto"/>
                <w:sz w:val="24"/>
              </w:rPr>
            </w:pPr>
            <w:r>
              <w:rPr>
                <w:rFonts w:asciiTheme="minorEastAsia" w:eastAsiaTheme="minorEastAsia" w:hAnsiTheme="minorEastAsia" w:cs="宋体" w:hint="eastAsia"/>
                <w:color w:val="auto"/>
                <w:sz w:val="24"/>
              </w:rPr>
              <w:t>评审内容：</w:t>
            </w:r>
          </w:p>
          <w:p>
            <w:pPr>
              <w:ind w:left="-78" w:right="-74" w:leftChars="-37" w:rightChars="-35"/>
              <w:jc w:val="left"/>
              <w:rPr>
                <w:rFonts w:asciiTheme="minorEastAsia" w:eastAsiaTheme="minorEastAsia" w:hAnsiTheme="minorEastAsia" w:cs="宋体" w:hint="eastAsia"/>
                <w:color w:val="auto"/>
                <w:sz w:val="24"/>
              </w:rPr>
            </w:pPr>
            <w:r>
              <w:rPr>
                <w:rFonts w:asciiTheme="minorEastAsia" w:eastAsiaTheme="minorEastAsia" w:hAnsiTheme="minorEastAsia" w:cs="宋体" w:hint="eastAsia"/>
                <w:color w:val="auto"/>
                <w:sz w:val="24"/>
              </w:rPr>
              <w:t>考察点A：提供国内外典型碳交易城市的管控行业、碳核查工作流程以及数据质量把控等技术文件要求；</w:t>
            </w:r>
          </w:p>
          <w:p>
            <w:pPr>
              <w:ind w:left="-78" w:right="-74" w:leftChars="-37" w:rightChars="-35"/>
              <w:jc w:val="left"/>
              <w:rPr>
                <w:rFonts w:asciiTheme="minorEastAsia" w:eastAsiaTheme="minorEastAsia" w:hAnsiTheme="minorEastAsia" w:cs="宋体" w:hint="eastAsia"/>
                <w:color w:val="auto"/>
                <w:sz w:val="24"/>
              </w:rPr>
            </w:pPr>
            <w:r>
              <w:rPr>
                <w:rFonts w:asciiTheme="minorEastAsia" w:eastAsiaTheme="minorEastAsia" w:hAnsiTheme="minorEastAsia" w:cs="宋体" w:hint="eastAsia"/>
                <w:color w:val="auto"/>
                <w:sz w:val="24"/>
              </w:rPr>
              <w:t>考察点B：提供深圳市历年来基准年碳核查工作开展及碳排放数据质量把关情况，尤其是近年来组织运营情况等碳市场配额协同管理信息收集演变趋势；</w:t>
            </w:r>
          </w:p>
          <w:p>
            <w:pPr>
              <w:ind w:left="-78" w:right="-74" w:leftChars="-37" w:rightChars="-35"/>
              <w:jc w:val="left"/>
              <w:rPr>
                <w:rFonts w:asciiTheme="minorEastAsia" w:eastAsiaTheme="minorEastAsia" w:hAnsiTheme="minorEastAsia" w:cs="宋体" w:hint="eastAsia"/>
                <w:color w:val="auto"/>
                <w:sz w:val="24"/>
              </w:rPr>
            </w:pPr>
            <w:r>
              <w:rPr>
                <w:rFonts w:asciiTheme="minorEastAsia" w:eastAsiaTheme="minorEastAsia" w:hAnsiTheme="minorEastAsia" w:cs="宋体" w:hint="eastAsia"/>
                <w:color w:val="auto"/>
                <w:sz w:val="24"/>
              </w:rPr>
              <w:t>考察点C：明确基准年碳核查全流程技术支持服务拟定的工作计划、工作方法、技术路线、数据质量保障措施等。</w:t>
            </w:r>
          </w:p>
          <w:p>
            <w:pPr>
              <w:ind w:left="-78" w:right="-74" w:leftChars="-37" w:rightChars="-35"/>
              <w:jc w:val="left"/>
              <w:rPr>
                <w:rFonts w:asciiTheme="minorEastAsia" w:eastAsiaTheme="minorEastAsia" w:hAnsiTheme="minorEastAsia" w:cs="宋体" w:hint="eastAsia"/>
                <w:color w:val="auto"/>
                <w:sz w:val="24"/>
              </w:rPr>
            </w:pPr>
            <w:r>
              <w:rPr>
                <w:rFonts w:asciiTheme="minorEastAsia" w:eastAsiaTheme="minorEastAsia" w:hAnsiTheme="minorEastAsia" w:cs="宋体" w:hint="eastAsia"/>
                <w:color w:val="auto"/>
                <w:sz w:val="24"/>
              </w:rPr>
              <w:t>考察点A、B、C三点，满足三点得80分，满足任意两点得50分，满足任意一点得10分，未满足不得分。在此基础上，专家根据各供应商的具体响应内容按照量化的评审因素指标进一步评审：1.</w:t>
            </w:r>
            <w:r>
              <w:rPr>
                <w:rFonts w:asciiTheme="minorEastAsia" w:eastAsiaTheme="minorEastAsia" w:hAnsiTheme="minorEastAsia" w:cs="宋体" w:hint="eastAsia"/>
                <w:color w:val="auto"/>
                <w:sz w:val="24"/>
              </w:rPr>
              <w:tab/>
            </w:r>
            <w:r>
              <w:rPr>
                <w:rFonts w:asciiTheme="minorEastAsia" w:eastAsiaTheme="minorEastAsia" w:hAnsiTheme="minorEastAsia" w:cs="宋体" w:hint="eastAsia"/>
                <w:color w:val="auto"/>
                <w:sz w:val="24"/>
              </w:rPr>
              <w:t>针对国内外典型碳交易城市的管控行业、碳核查工作流程以及数据质量把控等技术方法学文件要求分析准确；2.</w:t>
            </w:r>
            <w:r>
              <w:rPr>
                <w:rFonts w:asciiTheme="minorEastAsia" w:eastAsiaTheme="minorEastAsia" w:hAnsiTheme="minorEastAsia" w:cs="宋体" w:hint="eastAsia"/>
                <w:color w:val="auto"/>
                <w:sz w:val="24"/>
              </w:rPr>
              <w:tab/>
            </w:r>
            <w:r>
              <w:rPr>
                <w:rFonts w:asciiTheme="minorEastAsia" w:eastAsiaTheme="minorEastAsia" w:hAnsiTheme="minorEastAsia" w:cs="宋体" w:hint="eastAsia"/>
                <w:color w:val="auto"/>
                <w:sz w:val="24"/>
              </w:rPr>
              <w:t>深圳市历年来基准年碳核查工作开展及碳排放数据质量把关情况，尤其是近年来组织运营情况等碳市场配额协同管理信息收集演变趋势了解全面；3.</w:t>
            </w:r>
            <w:r>
              <w:rPr>
                <w:rFonts w:asciiTheme="minorEastAsia" w:eastAsiaTheme="minorEastAsia" w:hAnsiTheme="minorEastAsia" w:cs="宋体" w:hint="eastAsia"/>
                <w:color w:val="auto"/>
                <w:sz w:val="24"/>
              </w:rPr>
              <w:tab/>
            </w:r>
            <w:r>
              <w:rPr>
                <w:rFonts w:asciiTheme="minorEastAsia" w:eastAsiaTheme="minorEastAsia" w:hAnsiTheme="minorEastAsia" w:cs="宋体" w:hint="eastAsia"/>
                <w:color w:val="auto"/>
                <w:sz w:val="24"/>
              </w:rPr>
              <w:t>基准年碳核查全流程技术支持服务拟定的工作计划合理，工作方法、技术路线、数据质量保障措施等科学可行。从其中三个方面逐一进行阐述的评审为优，加20分；从其中两个方面逐一进行阐述的评审为良，加15分；从其中一个方面进行阐述的评审为中，加10分；其余不得分。</w:t>
            </w:r>
          </w:p>
          <w:p>
            <w:pPr>
              <w:ind w:left="-78" w:right="-74" w:leftChars="-37" w:rightChars="-35"/>
              <w:jc w:val="left"/>
              <w:rPr>
                <w:rFonts w:asciiTheme="minorEastAsia" w:eastAsiaTheme="minorEastAsia" w:hAnsiTheme="minorEastAsia" w:cs="宋体"/>
                <w:color w:val="auto"/>
                <w:sz w:val="24"/>
              </w:rPr>
            </w:pPr>
            <w:r>
              <w:rPr>
                <w:rFonts w:asciiTheme="minorEastAsia" w:eastAsiaTheme="minorEastAsia" w:hAnsiTheme="minorEastAsia" w:cs="宋体" w:hint="eastAsia"/>
                <w:color w:val="auto"/>
                <w:sz w:val="24"/>
              </w:rPr>
              <w:t>如果评审为差，要求专家书面说明理由，并记录在档。</w:t>
            </w:r>
          </w:p>
        </w:tc>
        <w:tc>
          <w:tcPr>
            <w:tcW w:w="685" w:type="dxa"/>
            <w:tcBorders>
              <w:right w:val="single" w:sz="4" w:space="0" w:color="auto"/>
            </w:tcBorders>
            <w:vAlign w:val="center"/>
          </w:tcPr>
          <w:p>
            <w:pPr>
              <w:jc w:val="center"/>
              <w:rPr>
                <w:rFonts w:asciiTheme="minorEastAsia" w:eastAsiaTheme="minorEastAsia" w:hAnsiTheme="minorEastAsia" w:cs="宋体" w:hint="default"/>
                <w:color w:val="auto"/>
                <w:sz w:val="24"/>
                <w:lang w:val="en-US" w:eastAsia="zh-CN"/>
              </w:rPr>
            </w:pPr>
            <w:r>
              <w:rPr>
                <w:rFonts w:asciiTheme="minorEastAsia" w:eastAsiaTheme="minorEastAsia" w:hAnsiTheme="minorEastAsia" w:cs="宋体" w:hint="eastAsia"/>
                <w:color w:val="auto"/>
                <w:sz w:val="24"/>
                <w:lang w:val="en-US" w:eastAsia="zh-CN"/>
              </w:rPr>
              <w:t>15</w:t>
            </w:r>
          </w:p>
        </w:tc>
        <w:tc>
          <w:tcPr>
            <w:tcW w:w="792" w:type="dxa"/>
            <w:tcBorders>
              <w:left w:val="single" w:sz="4" w:space="0" w:color="auto"/>
            </w:tcBorders>
            <w:vAlign w:val="center"/>
          </w:tcPr>
          <w:p>
            <w:pPr>
              <w:jc w:val="center"/>
              <w:rPr>
                <w:rFonts w:asciiTheme="minorEastAsia" w:eastAsiaTheme="minorEastAsia" w:hAnsiTheme="minorEastAsia" w:cs="宋体" w:hint="default"/>
                <w:color w:val="auto"/>
                <w:sz w:val="24"/>
                <w:lang w:val="en-US" w:eastAsia="zh-CN"/>
              </w:rPr>
            </w:pPr>
            <w:r>
              <w:rPr>
                <w:rFonts w:asciiTheme="minorEastAsia" w:eastAsiaTheme="minorEastAsia" w:hAnsiTheme="minorEastAsia" w:cs="宋体" w:hint="eastAsia"/>
                <w:color w:val="auto"/>
                <w:sz w:val="24"/>
                <w:lang w:val="en-US" w:eastAsia="zh-CN"/>
              </w:rPr>
              <w:t>15</w:t>
            </w:r>
          </w:p>
        </w:tc>
      </w:tr>
      <w:tr>
        <w:tblPrEx>
          <w:tblW w:w="9242" w:type="dxa"/>
          <w:tblInd w:w="93" w:type="dxa"/>
          <w:tblLayout w:type="fixed"/>
          <w:tblCellMar>
            <w:top w:w="0" w:type="dxa"/>
            <w:left w:w="108" w:type="dxa"/>
            <w:bottom w:w="0" w:type="dxa"/>
            <w:right w:w="108" w:type="dxa"/>
          </w:tblCellMar>
        </w:tblPrEx>
        <w:trPr>
          <w:trHeight w:val="883"/>
        </w:trPr>
        <w:tc>
          <w:tcPr>
            <w:tcW w:w="680" w:type="dxa"/>
            <w:tcBorders>
              <w:bottom w:val="single" w:sz="4" w:space="0" w:color="auto"/>
            </w:tcBorders>
            <w:vAlign w:val="center"/>
          </w:tcPr>
          <w:p>
            <w:pPr>
              <w:pStyle w:val="1"/>
              <w:numPr>
                <w:ilvl w:val="0"/>
                <w:numId w:val="16"/>
              </w:numPr>
              <w:ind w:firstLineChars="0"/>
              <w:jc w:val="right"/>
              <w:rPr>
                <w:rFonts w:asciiTheme="minorEastAsia" w:eastAsiaTheme="minorEastAsia" w:hAnsiTheme="minorEastAsia"/>
                <w:color w:val="auto"/>
                <w:sz w:val="24"/>
                <w:highlight w:val="none"/>
              </w:rPr>
            </w:pPr>
          </w:p>
        </w:tc>
        <w:tc>
          <w:tcPr>
            <w:tcW w:w="1355" w:type="dxa"/>
            <w:vAlign w:val="center"/>
          </w:tcPr>
          <w:p>
            <w:pPr>
              <w:jc w:val="center"/>
              <w:rPr>
                <w:rFonts w:asciiTheme="minorEastAsia" w:eastAsiaTheme="minorEastAsia" w:hAnsiTheme="minorEastAsia" w:cs="宋体"/>
                <w:color w:val="auto"/>
                <w:sz w:val="24"/>
                <w:highlight w:val="none"/>
              </w:rPr>
            </w:pPr>
            <w:r>
              <w:rPr>
                <w:rFonts w:asciiTheme="minorEastAsia" w:eastAsiaTheme="minorEastAsia" w:hAnsiTheme="minorEastAsia" w:cs="宋体" w:hint="eastAsia"/>
                <w:color w:val="auto"/>
                <w:sz w:val="24"/>
                <w:highlight w:val="none"/>
              </w:rPr>
              <w:t>项目重点难点分析、应对措施及相关的合理化建议</w:t>
            </w:r>
          </w:p>
        </w:tc>
        <w:tc>
          <w:tcPr>
            <w:tcW w:w="5730" w:type="dxa"/>
            <w:vAlign w:val="center"/>
          </w:tcPr>
          <w:p>
            <w:pPr>
              <w:ind w:left="-78" w:right="-74" w:leftChars="-37" w:rightChars="-35"/>
              <w:jc w:val="left"/>
              <w:rPr>
                <w:rFonts w:asciiTheme="minorEastAsia" w:eastAsiaTheme="minorEastAsia" w:hAnsiTheme="minorEastAsia" w:cs="宋体" w:hint="eastAsia"/>
                <w:color w:val="auto"/>
                <w:sz w:val="24"/>
                <w:highlight w:val="none"/>
              </w:rPr>
            </w:pPr>
            <w:r>
              <w:rPr>
                <w:rFonts w:asciiTheme="minorEastAsia" w:eastAsiaTheme="minorEastAsia" w:hAnsiTheme="minorEastAsia" w:cs="宋体" w:hint="eastAsia"/>
                <w:color w:val="auto"/>
                <w:sz w:val="24"/>
                <w:highlight w:val="none"/>
              </w:rPr>
              <w:t>评审内容：</w:t>
            </w:r>
          </w:p>
          <w:p>
            <w:pPr>
              <w:ind w:left="-78" w:right="-74" w:leftChars="-37" w:rightChars="-35"/>
              <w:jc w:val="left"/>
              <w:rPr>
                <w:rFonts w:asciiTheme="minorEastAsia" w:eastAsiaTheme="minorEastAsia" w:hAnsiTheme="minorEastAsia" w:cs="宋体" w:hint="eastAsia"/>
                <w:color w:val="auto"/>
                <w:sz w:val="24"/>
                <w:highlight w:val="none"/>
              </w:rPr>
            </w:pPr>
            <w:r>
              <w:rPr>
                <w:rFonts w:asciiTheme="minorEastAsia" w:eastAsiaTheme="minorEastAsia" w:hAnsiTheme="minorEastAsia" w:cs="宋体" w:hint="eastAsia"/>
                <w:color w:val="auto"/>
                <w:sz w:val="24"/>
                <w:highlight w:val="none"/>
              </w:rPr>
              <w:t>考察点A：基准年碳核查全流程技术支持各个工作环节的必要性分析。</w:t>
            </w:r>
          </w:p>
          <w:p>
            <w:pPr>
              <w:ind w:left="-78" w:right="-74" w:leftChars="-37" w:rightChars="-35"/>
              <w:jc w:val="left"/>
              <w:rPr>
                <w:rFonts w:asciiTheme="minorEastAsia" w:eastAsiaTheme="minorEastAsia" w:hAnsiTheme="minorEastAsia" w:cs="宋体" w:hint="eastAsia"/>
                <w:color w:val="auto"/>
                <w:sz w:val="24"/>
                <w:highlight w:val="none"/>
              </w:rPr>
            </w:pPr>
            <w:r>
              <w:rPr>
                <w:rFonts w:asciiTheme="minorEastAsia" w:eastAsiaTheme="minorEastAsia" w:hAnsiTheme="minorEastAsia" w:cs="宋体" w:hint="eastAsia"/>
                <w:color w:val="auto"/>
                <w:sz w:val="24"/>
                <w:highlight w:val="none"/>
              </w:rPr>
              <w:t>考察点B：项目推进实施过程中所遇到的解决方案汇编、机构对接、实时答疑、文件审核、现场复核、汇总分析等重难点分析。</w:t>
            </w:r>
          </w:p>
          <w:p>
            <w:pPr>
              <w:ind w:left="-78" w:right="-74" w:leftChars="-37" w:rightChars="-35"/>
              <w:jc w:val="left"/>
              <w:rPr>
                <w:rFonts w:asciiTheme="minorEastAsia" w:eastAsiaTheme="minorEastAsia" w:hAnsiTheme="minorEastAsia" w:cs="宋体" w:hint="eastAsia"/>
                <w:color w:val="auto"/>
                <w:sz w:val="24"/>
                <w:highlight w:val="none"/>
              </w:rPr>
            </w:pPr>
            <w:r>
              <w:rPr>
                <w:rFonts w:asciiTheme="minorEastAsia" w:eastAsiaTheme="minorEastAsia" w:hAnsiTheme="minorEastAsia" w:cs="宋体" w:hint="eastAsia"/>
                <w:color w:val="auto"/>
                <w:sz w:val="24"/>
                <w:highlight w:val="none"/>
              </w:rPr>
              <w:t>考察点C：项目推进实施过程中解决方案汇编、机构对接、实时答疑、文件审核、现场复核、汇总分析等重难点问题的解决方案。</w:t>
            </w:r>
          </w:p>
          <w:p>
            <w:pPr>
              <w:ind w:left="-78" w:right="-74" w:leftChars="-37" w:rightChars="-35"/>
              <w:jc w:val="left"/>
              <w:rPr>
                <w:rFonts w:asciiTheme="minorEastAsia" w:eastAsiaTheme="minorEastAsia" w:hAnsiTheme="minorEastAsia" w:cs="宋体" w:hint="eastAsia"/>
                <w:color w:val="auto"/>
                <w:sz w:val="24"/>
                <w:highlight w:val="none"/>
              </w:rPr>
            </w:pPr>
            <w:r>
              <w:rPr>
                <w:rFonts w:asciiTheme="minorEastAsia" w:eastAsiaTheme="minorEastAsia" w:hAnsiTheme="minorEastAsia" w:cs="宋体" w:hint="eastAsia"/>
                <w:color w:val="auto"/>
                <w:sz w:val="24"/>
                <w:highlight w:val="none"/>
              </w:rPr>
              <w:t>考察点A、B、C三点，满足三点得80分，满足任意两点得50分，满足任意一点得10分，未满足不得分。在此基础上，专家根据各供应商的具体响应内容按照量化的评审因素指标进一步评审：1.投标人对项目的重点、难点分析从基准年碳核查全流程技术支持服务出发，进行四个或以上方面的系统分析并逐一提出针对性措施和建议的，评审为优，加20分；2.投投标人对项目的重点、难点分析从基准年碳核查全流程技术支持服务出发，进行三个方面的系统分析并逐一提出针对性措施和建议的，评审为良，加15分；3.投标人对项目的重点、难点分析从基准年碳核查全流程技术支持服务出发，进行两个或以下方面的分析并逐一提出针对性措施和建议的，评审为中，加10分；其余不得分。</w:t>
            </w:r>
          </w:p>
          <w:p>
            <w:pPr>
              <w:ind w:left="-78" w:right="-74" w:leftChars="-37" w:rightChars="-35"/>
              <w:jc w:val="left"/>
              <w:rPr>
                <w:rFonts w:asciiTheme="minorEastAsia" w:eastAsiaTheme="minorEastAsia" w:hAnsiTheme="minorEastAsia" w:cs="宋体"/>
                <w:color w:val="auto"/>
                <w:sz w:val="24"/>
                <w:highlight w:val="none"/>
              </w:rPr>
            </w:pPr>
            <w:r>
              <w:rPr>
                <w:rFonts w:asciiTheme="minorEastAsia" w:eastAsiaTheme="minorEastAsia" w:hAnsiTheme="minorEastAsia" w:cs="宋体" w:hint="eastAsia"/>
                <w:color w:val="auto"/>
                <w:sz w:val="24"/>
                <w:highlight w:val="none"/>
              </w:rPr>
              <w:t>如果评审为差，要求专家书面说明理由，并记录在档。</w:t>
            </w:r>
          </w:p>
        </w:tc>
        <w:tc>
          <w:tcPr>
            <w:tcW w:w="685" w:type="dxa"/>
            <w:tcBorders>
              <w:right w:val="single" w:sz="4" w:space="0" w:color="auto"/>
            </w:tcBorders>
            <w:vAlign w:val="center"/>
          </w:tcPr>
          <w:p>
            <w:pPr>
              <w:jc w:val="center"/>
              <w:rPr>
                <w:rFonts w:asciiTheme="minorEastAsia" w:eastAsiaTheme="minorEastAsia" w:hAnsiTheme="minorEastAsia" w:cs="宋体" w:hint="default"/>
                <w:color w:val="auto"/>
                <w:sz w:val="24"/>
                <w:highlight w:val="none"/>
                <w:lang w:val="en-US" w:eastAsia="zh-CN"/>
              </w:rPr>
            </w:pPr>
            <w:r>
              <w:rPr>
                <w:rFonts w:asciiTheme="minorEastAsia" w:eastAsiaTheme="minorEastAsia" w:hAnsiTheme="minorEastAsia" w:cs="宋体" w:hint="eastAsia"/>
                <w:color w:val="auto"/>
                <w:sz w:val="24"/>
                <w:highlight w:val="none"/>
                <w:lang w:val="en-US" w:eastAsia="zh-CN"/>
              </w:rPr>
              <w:t>13</w:t>
            </w:r>
          </w:p>
        </w:tc>
        <w:tc>
          <w:tcPr>
            <w:tcW w:w="792" w:type="dxa"/>
            <w:tcBorders>
              <w:left w:val="single" w:sz="4" w:space="0" w:color="auto"/>
            </w:tcBorders>
            <w:vAlign w:val="center"/>
          </w:tcPr>
          <w:p>
            <w:pPr>
              <w:jc w:val="center"/>
              <w:rPr>
                <w:rFonts w:asciiTheme="minorEastAsia" w:eastAsiaTheme="minorEastAsia" w:hAnsiTheme="minorEastAsia" w:cs="宋体" w:hint="default"/>
                <w:color w:val="auto"/>
                <w:sz w:val="24"/>
                <w:highlight w:val="none"/>
                <w:lang w:val="en-US" w:eastAsia="zh-CN"/>
              </w:rPr>
            </w:pPr>
            <w:r>
              <w:rPr>
                <w:rFonts w:asciiTheme="minorEastAsia" w:eastAsiaTheme="minorEastAsia" w:hAnsiTheme="minorEastAsia" w:cs="宋体" w:hint="eastAsia"/>
                <w:color w:val="auto"/>
                <w:sz w:val="24"/>
                <w:highlight w:val="none"/>
                <w:lang w:val="en-US" w:eastAsia="zh-CN"/>
              </w:rPr>
              <w:t>13</w:t>
            </w:r>
          </w:p>
        </w:tc>
      </w:tr>
      <w:tr>
        <w:tblPrEx>
          <w:tblW w:w="9242" w:type="dxa"/>
          <w:tblInd w:w="93" w:type="dxa"/>
          <w:tblLayout w:type="fixed"/>
          <w:tblCellMar>
            <w:top w:w="0" w:type="dxa"/>
            <w:left w:w="108" w:type="dxa"/>
            <w:bottom w:w="0" w:type="dxa"/>
            <w:right w:w="108" w:type="dxa"/>
          </w:tblCellMar>
        </w:tblPrEx>
        <w:trPr>
          <w:trHeight w:val="883"/>
        </w:trPr>
        <w:tc>
          <w:tcPr>
            <w:tcW w:w="680" w:type="dxa"/>
            <w:tcBorders>
              <w:top w:val="single" w:sz="4" w:space="0" w:color="auto"/>
              <w:bottom w:val="single" w:sz="4" w:space="0" w:color="auto"/>
            </w:tcBorders>
            <w:vAlign w:val="center"/>
          </w:tcPr>
          <w:p>
            <w:pPr>
              <w:pStyle w:val="1"/>
              <w:numPr>
                <w:ilvl w:val="0"/>
                <w:numId w:val="16"/>
              </w:numPr>
              <w:ind w:firstLineChars="0"/>
              <w:jc w:val="right"/>
              <w:rPr>
                <w:rFonts w:asciiTheme="minorEastAsia" w:eastAsiaTheme="minorEastAsia" w:hAnsiTheme="minorEastAsia"/>
                <w:color w:val="auto"/>
                <w:sz w:val="24"/>
                <w:highlight w:val="none"/>
              </w:rPr>
            </w:pPr>
          </w:p>
        </w:tc>
        <w:tc>
          <w:tcPr>
            <w:tcW w:w="1355" w:type="dxa"/>
            <w:vAlign w:val="center"/>
          </w:tcPr>
          <w:p>
            <w:pPr>
              <w:jc w:val="center"/>
              <w:rPr>
                <w:rFonts w:asciiTheme="minorEastAsia" w:eastAsiaTheme="minorEastAsia" w:hAnsiTheme="minorEastAsia"/>
                <w:color w:val="auto"/>
                <w:sz w:val="24"/>
                <w:highlight w:val="none"/>
              </w:rPr>
            </w:pPr>
            <w:r>
              <w:rPr>
                <w:rFonts w:asciiTheme="minorEastAsia" w:eastAsiaTheme="minorEastAsia" w:hAnsiTheme="minorEastAsia" w:hint="eastAsia"/>
                <w:color w:val="auto"/>
                <w:sz w:val="24"/>
                <w:highlight w:val="none"/>
              </w:rPr>
              <w:t>质量（完成时间、安全、环保）保障措施及方案</w:t>
            </w:r>
          </w:p>
        </w:tc>
        <w:tc>
          <w:tcPr>
            <w:tcW w:w="5730" w:type="dxa"/>
            <w:vAlign w:val="center"/>
          </w:tcPr>
          <w:p>
            <w:pPr>
              <w:tabs>
                <w:tab w:val="left" w:pos="1774"/>
              </w:tabs>
              <w:ind w:left="-78" w:right="-74" w:leftChars="-37" w:rightChars="-35"/>
              <w:jc w:val="left"/>
              <w:rPr>
                <w:rFonts w:asciiTheme="minorEastAsia" w:eastAsiaTheme="minorEastAsia" w:hAnsiTheme="minorEastAsia" w:cs="宋体" w:hint="eastAsia"/>
                <w:color w:val="auto"/>
                <w:sz w:val="24"/>
                <w:highlight w:val="none"/>
              </w:rPr>
            </w:pPr>
            <w:r>
              <w:rPr>
                <w:rFonts w:asciiTheme="minorEastAsia" w:eastAsiaTheme="minorEastAsia" w:hAnsiTheme="minorEastAsia" w:cs="宋体" w:hint="eastAsia"/>
                <w:color w:val="auto"/>
                <w:sz w:val="24"/>
                <w:highlight w:val="none"/>
              </w:rPr>
              <w:t>评审内容：</w:t>
            </w:r>
          </w:p>
          <w:p>
            <w:pPr>
              <w:tabs>
                <w:tab w:val="left" w:pos="1774"/>
              </w:tabs>
              <w:ind w:left="-78" w:right="-74" w:leftChars="-37" w:rightChars="-35"/>
              <w:jc w:val="left"/>
              <w:rPr>
                <w:rFonts w:asciiTheme="minorEastAsia" w:eastAsiaTheme="minorEastAsia" w:hAnsiTheme="minorEastAsia" w:cs="宋体" w:hint="eastAsia"/>
                <w:color w:val="auto"/>
                <w:sz w:val="24"/>
                <w:highlight w:val="none"/>
              </w:rPr>
            </w:pPr>
            <w:r>
              <w:rPr>
                <w:rFonts w:asciiTheme="minorEastAsia" w:eastAsiaTheme="minorEastAsia" w:hAnsiTheme="minorEastAsia" w:cs="宋体" w:hint="eastAsia"/>
                <w:color w:val="auto"/>
                <w:sz w:val="24"/>
                <w:highlight w:val="none"/>
                <w:lang w:val="zh-CN"/>
              </w:rPr>
              <w:t>针对本项目的需求制定质量（完成时间、安全、环保）保障措施及方案，</w:t>
            </w:r>
            <w:r>
              <w:rPr>
                <w:rFonts w:asciiTheme="minorEastAsia" w:eastAsiaTheme="minorEastAsia" w:hAnsiTheme="minorEastAsia" w:cs="宋体" w:hint="eastAsia"/>
                <w:color w:val="auto"/>
                <w:sz w:val="24"/>
                <w:highlight w:val="none"/>
              </w:rPr>
              <w:t>内容包括：</w:t>
            </w:r>
          </w:p>
          <w:p>
            <w:pPr>
              <w:tabs>
                <w:tab w:val="left" w:pos="1774"/>
              </w:tabs>
              <w:ind w:left="-78" w:right="-74" w:leftChars="-37" w:rightChars="-35"/>
              <w:jc w:val="left"/>
              <w:rPr>
                <w:rFonts w:asciiTheme="minorEastAsia" w:eastAsiaTheme="minorEastAsia" w:hAnsiTheme="minorEastAsia" w:cs="宋体" w:hint="eastAsia"/>
                <w:color w:val="auto"/>
                <w:sz w:val="24"/>
                <w:highlight w:val="none"/>
              </w:rPr>
            </w:pPr>
            <w:r>
              <w:rPr>
                <w:rFonts w:asciiTheme="minorEastAsia" w:eastAsiaTheme="minorEastAsia" w:hAnsiTheme="minorEastAsia" w:cs="宋体" w:hint="eastAsia"/>
                <w:color w:val="auto"/>
                <w:sz w:val="24"/>
                <w:highlight w:val="none"/>
              </w:rPr>
              <w:t>考察点A：项目质量保障制度，项目进度计划及保障措施。</w:t>
            </w:r>
          </w:p>
          <w:p>
            <w:pPr>
              <w:tabs>
                <w:tab w:val="left" w:pos="1774"/>
              </w:tabs>
              <w:ind w:left="-78" w:right="-74" w:leftChars="-37" w:rightChars="-35"/>
              <w:jc w:val="left"/>
              <w:rPr>
                <w:rFonts w:asciiTheme="minorEastAsia" w:eastAsiaTheme="minorEastAsia" w:hAnsiTheme="minorEastAsia" w:cs="宋体" w:hint="eastAsia"/>
                <w:color w:val="auto"/>
                <w:sz w:val="24"/>
                <w:highlight w:val="none"/>
              </w:rPr>
            </w:pPr>
            <w:r>
              <w:rPr>
                <w:rFonts w:asciiTheme="minorEastAsia" w:eastAsiaTheme="minorEastAsia" w:hAnsiTheme="minorEastAsia" w:cs="宋体" w:hint="eastAsia"/>
                <w:color w:val="auto"/>
                <w:sz w:val="24"/>
                <w:highlight w:val="none"/>
              </w:rPr>
              <w:t>考察点B：可能发生突发事件，对应的应急组织机构及应急响应机制。</w:t>
            </w:r>
          </w:p>
          <w:p>
            <w:pPr>
              <w:tabs>
                <w:tab w:val="left" w:pos="1774"/>
              </w:tabs>
              <w:ind w:left="-78" w:right="-74" w:leftChars="-37" w:rightChars="-35"/>
              <w:jc w:val="left"/>
              <w:rPr>
                <w:rFonts w:asciiTheme="minorEastAsia" w:eastAsiaTheme="minorEastAsia" w:hAnsiTheme="minorEastAsia" w:cs="宋体" w:hint="eastAsia"/>
                <w:color w:val="auto"/>
                <w:sz w:val="24"/>
                <w:highlight w:val="none"/>
              </w:rPr>
            </w:pPr>
            <w:r>
              <w:rPr>
                <w:rFonts w:asciiTheme="minorEastAsia" w:eastAsiaTheme="minorEastAsia" w:hAnsiTheme="minorEastAsia" w:cs="宋体" w:hint="eastAsia"/>
                <w:color w:val="auto"/>
                <w:sz w:val="24"/>
                <w:highlight w:val="none"/>
              </w:rPr>
              <w:t>考察点C：处置措施及应急保障措施。</w:t>
            </w:r>
          </w:p>
          <w:p>
            <w:pPr>
              <w:tabs>
                <w:tab w:val="left" w:pos="1774"/>
              </w:tabs>
              <w:ind w:left="-78" w:right="-74" w:leftChars="-37" w:rightChars="-35"/>
              <w:jc w:val="left"/>
              <w:rPr>
                <w:rFonts w:asciiTheme="minorEastAsia" w:eastAsiaTheme="minorEastAsia" w:hAnsiTheme="minorEastAsia" w:cs="宋体" w:hint="eastAsia"/>
                <w:color w:val="auto"/>
                <w:sz w:val="24"/>
                <w:highlight w:val="none"/>
              </w:rPr>
            </w:pPr>
            <w:r>
              <w:rPr>
                <w:rFonts w:asciiTheme="minorEastAsia" w:eastAsiaTheme="minorEastAsia" w:hAnsiTheme="minorEastAsia" w:cs="宋体" w:hint="eastAsia"/>
                <w:color w:val="auto"/>
                <w:sz w:val="24"/>
                <w:highlight w:val="none"/>
              </w:rPr>
              <w:t>考察点A、B、C三点，满足三点得80分，满足任意两点得50分，满足任意一点得10分，未满足不得分。在此基础上，专家根据各供应商的具体响应内容按照量化的评审因素指标进一步评审：1.项目质量保障制度，项目进度计划及保障措施符合要求；2.可能发生突发事件识别全面；3.应急组织机构与应急响应机制完善，处置措施切实可行，应急保障措施完备。从其中三个方面逐一进行阐述的评审为优，加20分；从其中两个方面逐一进行阐述的评审为良，加15分；从其中一个方面进行阐述的评审为中，加10分；其余不得分。</w:t>
            </w:r>
          </w:p>
          <w:p>
            <w:pPr>
              <w:tabs>
                <w:tab w:val="left" w:pos="1774"/>
              </w:tabs>
              <w:ind w:left="-78" w:right="-74" w:leftChars="-37" w:rightChars="-35"/>
              <w:jc w:val="left"/>
              <w:rPr>
                <w:rFonts w:asciiTheme="minorEastAsia" w:eastAsiaTheme="minorEastAsia" w:hAnsiTheme="minorEastAsia" w:cs="宋体"/>
                <w:color w:val="auto"/>
                <w:sz w:val="24"/>
                <w:highlight w:val="none"/>
              </w:rPr>
            </w:pPr>
            <w:r>
              <w:rPr>
                <w:rFonts w:asciiTheme="minorEastAsia" w:eastAsiaTheme="minorEastAsia" w:hAnsiTheme="minorEastAsia" w:cs="宋体" w:hint="eastAsia"/>
                <w:color w:val="auto"/>
                <w:sz w:val="24"/>
                <w:highlight w:val="none"/>
              </w:rPr>
              <w:t>如果评审为差，要求专家书面说明理由，并记录在档。</w:t>
            </w:r>
          </w:p>
        </w:tc>
        <w:tc>
          <w:tcPr>
            <w:tcW w:w="685" w:type="dxa"/>
            <w:tcBorders>
              <w:right w:val="single" w:sz="4" w:space="0" w:color="auto"/>
            </w:tcBorders>
            <w:vAlign w:val="center"/>
          </w:tcPr>
          <w:p>
            <w:pPr>
              <w:ind w:left="-78" w:right="-74" w:leftChars="-37" w:rightChars="-35"/>
              <w:jc w:val="center"/>
              <w:rPr>
                <w:rFonts w:asciiTheme="minorEastAsia" w:eastAsiaTheme="minorEastAsia" w:hAnsiTheme="minorEastAsia" w:cs="宋体" w:hint="default"/>
                <w:color w:val="auto"/>
                <w:sz w:val="24"/>
                <w:highlight w:val="none"/>
                <w:lang w:val="en-US" w:eastAsia="zh-CN"/>
              </w:rPr>
            </w:pPr>
            <w:r>
              <w:rPr>
                <w:rFonts w:asciiTheme="minorEastAsia" w:eastAsiaTheme="minorEastAsia" w:hAnsiTheme="minorEastAsia" w:cs="宋体" w:hint="eastAsia"/>
                <w:color w:val="auto"/>
                <w:sz w:val="24"/>
                <w:highlight w:val="none"/>
                <w:lang w:val="en-US" w:eastAsia="zh-CN"/>
              </w:rPr>
              <w:t>10</w:t>
            </w:r>
          </w:p>
        </w:tc>
        <w:tc>
          <w:tcPr>
            <w:tcW w:w="792" w:type="dxa"/>
            <w:tcBorders>
              <w:left w:val="single" w:sz="4" w:space="0" w:color="auto"/>
            </w:tcBorders>
            <w:vAlign w:val="center"/>
          </w:tcPr>
          <w:p>
            <w:pPr>
              <w:ind w:left="-78" w:right="-74" w:leftChars="-37" w:rightChars="-35"/>
              <w:jc w:val="center"/>
              <w:rPr>
                <w:rFonts w:asciiTheme="minorEastAsia" w:eastAsiaTheme="minorEastAsia" w:hAnsiTheme="minorEastAsia" w:cs="宋体" w:hint="default"/>
                <w:color w:val="auto"/>
                <w:sz w:val="24"/>
                <w:highlight w:val="none"/>
                <w:lang w:val="en-US" w:eastAsia="zh-CN"/>
              </w:rPr>
            </w:pPr>
            <w:r>
              <w:rPr>
                <w:rFonts w:asciiTheme="minorEastAsia" w:eastAsiaTheme="minorEastAsia" w:hAnsiTheme="minorEastAsia" w:cs="宋体" w:hint="eastAsia"/>
                <w:color w:val="auto"/>
                <w:sz w:val="24"/>
                <w:highlight w:val="none"/>
                <w:lang w:val="en-US" w:eastAsia="zh-CN"/>
              </w:rPr>
              <w:t>10</w:t>
            </w:r>
          </w:p>
        </w:tc>
      </w:tr>
      <w:tr>
        <w:tblPrEx>
          <w:tblW w:w="9242" w:type="dxa"/>
          <w:tblInd w:w="93" w:type="dxa"/>
          <w:tblLayout w:type="fixed"/>
          <w:tblCellMar>
            <w:top w:w="0" w:type="dxa"/>
            <w:left w:w="108" w:type="dxa"/>
            <w:bottom w:w="0" w:type="dxa"/>
            <w:right w:w="108" w:type="dxa"/>
          </w:tblCellMar>
        </w:tblPrEx>
        <w:trPr>
          <w:trHeight w:val="883"/>
        </w:trPr>
        <w:tc>
          <w:tcPr>
            <w:tcW w:w="680" w:type="dxa"/>
            <w:tcBorders>
              <w:top w:val="single" w:sz="4" w:space="0" w:color="auto"/>
            </w:tcBorders>
            <w:vAlign w:val="center"/>
          </w:tcPr>
          <w:p>
            <w:pPr>
              <w:pStyle w:val="1"/>
              <w:numPr>
                <w:ilvl w:val="0"/>
                <w:numId w:val="16"/>
              </w:numPr>
              <w:ind w:firstLineChars="0"/>
              <w:jc w:val="right"/>
              <w:rPr>
                <w:rFonts w:asciiTheme="minorEastAsia" w:eastAsiaTheme="minorEastAsia" w:hAnsiTheme="minorEastAsia"/>
                <w:color w:val="auto"/>
                <w:sz w:val="24"/>
              </w:rPr>
            </w:pPr>
          </w:p>
        </w:tc>
        <w:tc>
          <w:tcPr>
            <w:tcW w:w="1355" w:type="dxa"/>
            <w:vAlign w:val="center"/>
          </w:tcPr>
          <w:p>
            <w:pPr>
              <w:jc w:val="center"/>
              <w:rPr>
                <w:rFonts w:asciiTheme="minorEastAsia" w:eastAsiaTheme="minorEastAsia" w:hAnsiTheme="minorEastAsia"/>
                <w:color w:val="auto"/>
                <w:sz w:val="24"/>
              </w:rPr>
            </w:pPr>
            <w:r>
              <w:rPr>
                <w:rFonts w:asciiTheme="minorEastAsia" w:eastAsiaTheme="minorEastAsia" w:hAnsiTheme="minorEastAsia" w:hint="eastAsia"/>
                <w:color w:val="auto"/>
                <w:sz w:val="24"/>
              </w:rPr>
              <w:t>项目完成（服务期满）后的服务承诺</w:t>
            </w:r>
          </w:p>
        </w:tc>
        <w:tc>
          <w:tcPr>
            <w:tcW w:w="5730" w:type="dxa"/>
            <w:vAlign w:val="center"/>
          </w:tcPr>
          <w:p>
            <w:pPr>
              <w:tabs>
                <w:tab w:val="left" w:pos="1774"/>
              </w:tabs>
              <w:ind w:left="-78" w:right="-74" w:leftChars="-37" w:rightChars="-35"/>
              <w:jc w:val="left"/>
              <w:rPr>
                <w:rFonts w:asciiTheme="minorEastAsia" w:eastAsiaTheme="minorEastAsia" w:hAnsiTheme="minorEastAsia" w:cs="宋体" w:hint="eastAsia"/>
                <w:color w:val="auto"/>
                <w:sz w:val="24"/>
              </w:rPr>
            </w:pPr>
            <w:r>
              <w:rPr>
                <w:rFonts w:asciiTheme="minorEastAsia" w:eastAsiaTheme="minorEastAsia" w:hAnsiTheme="minorEastAsia" w:cs="宋体" w:hint="eastAsia"/>
                <w:color w:val="auto"/>
                <w:sz w:val="24"/>
              </w:rPr>
              <w:t>评审内容：</w:t>
            </w:r>
          </w:p>
          <w:p>
            <w:pPr>
              <w:tabs>
                <w:tab w:val="left" w:pos="1774"/>
              </w:tabs>
              <w:ind w:left="-78" w:right="-74" w:leftChars="-37" w:rightChars="-35"/>
              <w:jc w:val="left"/>
              <w:rPr>
                <w:rFonts w:asciiTheme="minorEastAsia" w:eastAsiaTheme="minorEastAsia" w:hAnsiTheme="minorEastAsia" w:cs="宋体" w:hint="eastAsia"/>
                <w:color w:val="auto"/>
                <w:sz w:val="24"/>
              </w:rPr>
            </w:pPr>
            <w:r>
              <w:rPr>
                <w:rFonts w:asciiTheme="minorEastAsia" w:eastAsiaTheme="minorEastAsia" w:hAnsiTheme="minorEastAsia" w:cs="宋体" w:hint="eastAsia"/>
                <w:color w:val="auto"/>
                <w:sz w:val="24"/>
              </w:rPr>
              <w:t>1.供应商制定项目完成（服务期满）后的服务承诺，承诺主动办理交接手续、完整的移交相关资料。且明确采购人在项目验收后如有问题需要咨询，将提供12个月的咨询和修改服务（费用包含在投标报价中，不需采购人另行付费），提供售后服务承诺书，格式自定。</w:t>
            </w:r>
          </w:p>
          <w:p>
            <w:pPr>
              <w:tabs>
                <w:tab w:val="left" w:pos="1774"/>
              </w:tabs>
              <w:ind w:left="-78" w:right="-74" w:leftChars="-37" w:rightChars="-35"/>
              <w:jc w:val="left"/>
              <w:rPr>
                <w:rFonts w:asciiTheme="minorEastAsia" w:eastAsiaTheme="minorEastAsia" w:hAnsiTheme="minorEastAsia" w:cs="宋体" w:hint="eastAsia"/>
                <w:color w:val="auto"/>
                <w:sz w:val="24"/>
              </w:rPr>
            </w:pPr>
            <w:r>
              <w:rPr>
                <w:rFonts w:asciiTheme="minorEastAsia" w:eastAsiaTheme="minorEastAsia" w:hAnsiTheme="minorEastAsia" w:cs="宋体" w:hint="eastAsia"/>
                <w:color w:val="auto"/>
                <w:sz w:val="24"/>
              </w:rPr>
              <w:t>2.售后服务响应时间不超过24小时，在项目实施地（深圳）有专业团队负责后期技术、研究支持，并提供其联系手机、电话、传真、Email，提供专员支持服务计划表，格式自定。</w:t>
            </w:r>
          </w:p>
          <w:p>
            <w:pPr>
              <w:tabs>
                <w:tab w:val="left" w:pos="1774"/>
              </w:tabs>
              <w:ind w:left="-78" w:right="-74" w:leftChars="-37" w:rightChars="-35"/>
              <w:jc w:val="left"/>
              <w:rPr>
                <w:rFonts w:asciiTheme="minorEastAsia" w:eastAsiaTheme="minorEastAsia" w:hAnsiTheme="minorEastAsia" w:cs="宋体"/>
                <w:color w:val="auto"/>
                <w:sz w:val="24"/>
              </w:rPr>
            </w:pPr>
            <w:r>
              <w:rPr>
                <w:rFonts w:asciiTheme="minorEastAsia" w:eastAsiaTheme="minorEastAsia" w:hAnsiTheme="minorEastAsia" w:cs="宋体" w:hint="eastAsia"/>
                <w:color w:val="auto"/>
                <w:sz w:val="24"/>
              </w:rPr>
              <w:t>满足以上两点得100分；否则不得分。</w:t>
            </w:r>
          </w:p>
        </w:tc>
        <w:tc>
          <w:tcPr>
            <w:tcW w:w="685" w:type="dxa"/>
            <w:tcBorders>
              <w:right w:val="single" w:sz="4" w:space="0" w:color="auto"/>
            </w:tcBorders>
            <w:vAlign w:val="center"/>
          </w:tcPr>
          <w:p>
            <w:pPr>
              <w:ind w:left="-78" w:right="-74" w:leftChars="-37" w:rightChars="-35"/>
              <w:jc w:val="center"/>
              <w:rPr>
                <w:rFonts w:asciiTheme="minorEastAsia" w:eastAsiaTheme="minorEastAsia" w:hAnsiTheme="minorEastAsia" w:cs="宋体" w:hint="eastAsia"/>
                <w:color w:val="auto"/>
                <w:sz w:val="24"/>
                <w:lang w:val="en-US" w:eastAsia="zh-CN"/>
              </w:rPr>
            </w:pPr>
            <w:r>
              <w:rPr>
                <w:rFonts w:asciiTheme="minorEastAsia" w:eastAsiaTheme="minorEastAsia" w:hAnsiTheme="minorEastAsia" w:cs="宋体" w:hint="eastAsia"/>
                <w:color w:val="auto"/>
                <w:sz w:val="24"/>
                <w:lang w:val="en-US" w:eastAsia="zh-CN"/>
              </w:rPr>
              <w:t>5</w:t>
            </w:r>
          </w:p>
        </w:tc>
        <w:tc>
          <w:tcPr>
            <w:tcW w:w="792" w:type="dxa"/>
            <w:tcBorders>
              <w:left w:val="single" w:sz="4" w:space="0" w:color="auto"/>
            </w:tcBorders>
            <w:vAlign w:val="center"/>
          </w:tcPr>
          <w:p>
            <w:pPr>
              <w:ind w:left="-78" w:right="-74" w:leftChars="-37" w:rightChars="-35"/>
              <w:jc w:val="center"/>
              <w:rPr>
                <w:rFonts w:asciiTheme="minorEastAsia" w:eastAsiaTheme="minorEastAsia" w:hAnsiTheme="minorEastAsia" w:cs="宋体" w:hint="eastAsia"/>
                <w:color w:val="auto"/>
                <w:sz w:val="24"/>
                <w:lang w:val="en-US" w:eastAsia="zh-CN"/>
              </w:rPr>
            </w:pPr>
            <w:r>
              <w:rPr>
                <w:rFonts w:asciiTheme="minorEastAsia" w:eastAsiaTheme="minorEastAsia" w:hAnsiTheme="minorEastAsia" w:cs="宋体" w:hint="eastAsia"/>
                <w:color w:val="auto"/>
                <w:sz w:val="24"/>
                <w:lang w:val="en-US" w:eastAsia="zh-CN"/>
              </w:rPr>
              <w:t>5</w:t>
            </w:r>
          </w:p>
        </w:tc>
      </w:tr>
      <w:tr>
        <w:tblPrEx>
          <w:tblW w:w="9242" w:type="dxa"/>
          <w:tblInd w:w="93" w:type="dxa"/>
          <w:tblLayout w:type="fixed"/>
          <w:tblCellMar>
            <w:top w:w="0" w:type="dxa"/>
            <w:left w:w="108" w:type="dxa"/>
            <w:bottom w:w="0" w:type="dxa"/>
            <w:right w:w="108" w:type="dxa"/>
          </w:tblCellMar>
        </w:tblPrEx>
        <w:trPr>
          <w:trHeight w:val="883"/>
        </w:trPr>
        <w:tc>
          <w:tcPr>
            <w:tcW w:w="680" w:type="dxa"/>
            <w:tcBorders>
              <w:top w:val="single" w:sz="4" w:space="0" w:color="auto"/>
            </w:tcBorders>
            <w:vAlign w:val="center"/>
          </w:tcPr>
          <w:p>
            <w:pPr>
              <w:pStyle w:val="1"/>
              <w:numPr>
                <w:ilvl w:val="0"/>
                <w:numId w:val="16"/>
              </w:numPr>
              <w:ind w:firstLineChars="0"/>
              <w:jc w:val="right"/>
              <w:rPr>
                <w:rFonts w:asciiTheme="minorEastAsia" w:eastAsiaTheme="minorEastAsia" w:hAnsiTheme="minorEastAsia"/>
                <w:color w:val="auto"/>
                <w:sz w:val="24"/>
              </w:rPr>
            </w:pPr>
          </w:p>
        </w:tc>
        <w:tc>
          <w:tcPr>
            <w:tcW w:w="1355" w:type="dxa"/>
            <w:vAlign w:val="center"/>
          </w:tcPr>
          <w:p>
            <w:pPr>
              <w:adjustRightInd w:val="0"/>
              <w:snapToGrid w:val="0"/>
              <w:spacing w:line="360" w:lineRule="exact"/>
              <w:jc w:val="center"/>
              <w:rPr>
                <w:rFonts w:asciiTheme="minorEastAsia" w:eastAsiaTheme="minorEastAsia" w:hAnsiTheme="minorEastAsia"/>
                <w:bCs/>
                <w:color w:val="auto"/>
                <w:sz w:val="24"/>
              </w:rPr>
            </w:pPr>
            <w:r>
              <w:rPr>
                <w:rFonts w:ascii="宋体" w:eastAsia="宋体" w:hAnsi="宋体" w:cs="宋体" w:hint="eastAsia"/>
                <w:color w:val="auto"/>
                <w:sz w:val="24"/>
                <w:szCs w:val="24"/>
              </w:rPr>
              <w:t>违约承诺</w:t>
            </w:r>
          </w:p>
        </w:tc>
        <w:tc>
          <w:tcPr>
            <w:tcW w:w="5730" w:type="dxa"/>
            <w:vAlign w:val="center"/>
          </w:tcPr>
          <w:p>
            <w:pPr>
              <w:adjustRightInd w:val="0"/>
              <w:snapToGrid w:val="0"/>
              <w:spacing w:line="360" w:lineRule="exact"/>
              <w:jc w:val="left"/>
              <w:rPr>
                <w:rFonts w:asciiTheme="minorEastAsia" w:eastAsiaTheme="minorEastAsia" w:hAnsiTheme="minorEastAsia" w:hint="eastAsia"/>
                <w:color w:val="auto"/>
                <w:sz w:val="24"/>
              </w:rPr>
            </w:pPr>
            <w:r>
              <w:rPr>
                <w:rFonts w:asciiTheme="minorEastAsia" w:eastAsiaTheme="minorEastAsia" w:hAnsiTheme="minorEastAsia" w:hint="eastAsia"/>
                <w:color w:val="auto"/>
                <w:sz w:val="24"/>
              </w:rPr>
              <w:t>评审内容：</w:t>
            </w:r>
          </w:p>
          <w:p>
            <w:pPr>
              <w:adjustRightInd w:val="0"/>
              <w:snapToGrid w:val="0"/>
              <w:spacing w:line="360" w:lineRule="exact"/>
              <w:jc w:val="left"/>
              <w:rPr>
                <w:rFonts w:asciiTheme="minorEastAsia" w:eastAsiaTheme="minorEastAsia" w:hAnsiTheme="minorEastAsia" w:hint="eastAsia"/>
                <w:color w:val="auto"/>
                <w:sz w:val="24"/>
              </w:rPr>
            </w:pPr>
            <w:r>
              <w:rPr>
                <w:rFonts w:asciiTheme="minorEastAsia" w:eastAsiaTheme="minorEastAsia" w:hAnsiTheme="minorEastAsia" w:hint="eastAsia"/>
                <w:color w:val="auto"/>
                <w:sz w:val="24"/>
              </w:rPr>
              <w:t>供应商承诺若违反对服务内容全面履行、按服务期限完成项目、按招标文件要求投入人员和设备、严格遵守保密要求、承诺成果知识产权归采购人所有、项目成果不侵犯第三人知识产权等合同要求，采购人有权解除或终止合同，并保留追究供应商责任及要求赔偿损失的权利，得100分；要求提供承诺函（格式自定）作为得分依据，未提供承诺函或承诺内容不满足要求不得分。</w:t>
            </w:r>
          </w:p>
          <w:p>
            <w:pPr>
              <w:adjustRightInd w:val="0"/>
              <w:snapToGrid w:val="0"/>
              <w:spacing w:line="360" w:lineRule="exact"/>
              <w:jc w:val="left"/>
              <w:rPr>
                <w:rFonts w:asciiTheme="minorEastAsia" w:eastAsiaTheme="minorEastAsia" w:hAnsiTheme="minorEastAsia"/>
                <w:color w:val="auto"/>
                <w:sz w:val="24"/>
              </w:rPr>
            </w:pPr>
            <w:r>
              <w:rPr>
                <w:rFonts w:asciiTheme="minorEastAsia" w:eastAsiaTheme="minorEastAsia" w:hAnsiTheme="minorEastAsia" w:hint="eastAsia"/>
                <w:color w:val="auto"/>
                <w:sz w:val="24"/>
              </w:rPr>
              <w:t>如果评审为不得分，专家需书面说明理由，并记录在档。</w:t>
            </w:r>
          </w:p>
        </w:tc>
        <w:tc>
          <w:tcPr>
            <w:tcW w:w="685" w:type="dxa"/>
            <w:tcBorders>
              <w:right w:val="single" w:sz="4" w:space="0" w:color="auto"/>
            </w:tcBorders>
            <w:vAlign w:val="center"/>
          </w:tcPr>
          <w:p>
            <w:pPr>
              <w:ind w:left="-78" w:right="-74" w:leftChars="-37" w:rightChars="-35"/>
              <w:jc w:val="center"/>
              <w:rPr>
                <w:rFonts w:asciiTheme="minorEastAsia" w:eastAsiaTheme="minorEastAsia" w:hAnsiTheme="minorEastAsia" w:cs="宋体" w:hint="eastAsia"/>
                <w:color w:val="auto"/>
                <w:sz w:val="24"/>
                <w:lang w:val="en-US" w:eastAsia="zh-CN"/>
              </w:rPr>
            </w:pPr>
            <w:r>
              <w:rPr>
                <w:rFonts w:asciiTheme="minorEastAsia" w:eastAsiaTheme="minorEastAsia" w:hAnsiTheme="minorEastAsia" w:cs="宋体" w:hint="eastAsia"/>
                <w:color w:val="auto"/>
                <w:sz w:val="24"/>
                <w:lang w:val="en-US" w:eastAsia="zh-CN"/>
              </w:rPr>
              <w:t>2</w:t>
            </w:r>
          </w:p>
        </w:tc>
        <w:tc>
          <w:tcPr>
            <w:tcW w:w="792" w:type="dxa"/>
            <w:tcBorders>
              <w:left w:val="single" w:sz="4" w:space="0" w:color="auto"/>
            </w:tcBorders>
            <w:vAlign w:val="center"/>
          </w:tcPr>
          <w:p>
            <w:pPr>
              <w:ind w:left="-78" w:right="-74" w:leftChars="-37" w:rightChars="-35"/>
              <w:jc w:val="center"/>
              <w:rPr>
                <w:rFonts w:asciiTheme="minorEastAsia" w:eastAsiaTheme="minorEastAsia" w:hAnsiTheme="minorEastAsia" w:cs="宋体" w:hint="eastAsia"/>
                <w:color w:val="auto"/>
                <w:sz w:val="24"/>
                <w:lang w:val="en-US" w:eastAsia="zh-CN"/>
              </w:rPr>
            </w:pPr>
            <w:r>
              <w:rPr>
                <w:rFonts w:asciiTheme="minorEastAsia" w:eastAsiaTheme="minorEastAsia" w:hAnsiTheme="minorEastAsia" w:cs="宋体" w:hint="eastAsia"/>
                <w:color w:val="auto"/>
                <w:sz w:val="24"/>
                <w:lang w:val="en-US" w:eastAsia="zh-CN"/>
              </w:rPr>
              <w:t>2</w:t>
            </w:r>
          </w:p>
        </w:tc>
      </w:tr>
      <w:tr>
        <w:tblPrEx>
          <w:tblW w:w="9242" w:type="dxa"/>
          <w:tblInd w:w="93" w:type="dxa"/>
          <w:tblLayout w:type="fixed"/>
          <w:tblCellMar>
            <w:top w:w="0" w:type="dxa"/>
            <w:left w:w="108" w:type="dxa"/>
            <w:bottom w:w="0" w:type="dxa"/>
            <w:right w:w="108" w:type="dxa"/>
          </w:tblCellMar>
        </w:tblPrEx>
        <w:trPr>
          <w:trHeight w:val="387"/>
        </w:trPr>
        <w:tc>
          <w:tcPr>
            <w:tcW w:w="680" w:type="dxa"/>
            <w:tcBorders>
              <w:top w:val="single" w:sz="4" w:space="0" w:color="auto"/>
            </w:tcBorders>
            <w:vAlign w:val="center"/>
          </w:tcPr>
          <w:p>
            <w:pPr>
              <w:ind w:left="-78" w:right="-74" w:leftChars="-37" w:rightChars="-35"/>
              <w:jc w:val="center"/>
              <w:rPr>
                <w:rFonts w:asciiTheme="minorEastAsia" w:eastAsiaTheme="minorEastAsia" w:hAnsiTheme="minorEastAsia" w:cs="宋体"/>
                <w:b/>
                <w:color w:val="auto"/>
                <w:sz w:val="24"/>
              </w:rPr>
            </w:pPr>
            <w:r>
              <w:rPr>
                <w:rFonts w:asciiTheme="minorEastAsia" w:eastAsiaTheme="minorEastAsia" w:hAnsiTheme="minorEastAsia" w:cs="宋体" w:hint="eastAsia"/>
                <w:b/>
                <w:color w:val="auto"/>
                <w:sz w:val="24"/>
              </w:rPr>
              <w:t>二</w:t>
            </w:r>
          </w:p>
        </w:tc>
        <w:tc>
          <w:tcPr>
            <w:tcW w:w="8562" w:type="dxa"/>
            <w:gridSpan w:val="4"/>
            <w:vAlign w:val="center"/>
          </w:tcPr>
          <w:p>
            <w:pPr>
              <w:ind w:left="-78" w:right="-74" w:leftChars="-37" w:rightChars="-35"/>
              <w:jc w:val="center"/>
              <w:rPr>
                <w:rFonts w:asciiTheme="minorEastAsia" w:eastAsiaTheme="minorEastAsia" w:hAnsiTheme="minorEastAsia" w:cs="宋体"/>
                <w:b/>
                <w:color w:val="auto"/>
                <w:sz w:val="24"/>
              </w:rPr>
            </w:pPr>
            <w:r>
              <w:rPr>
                <w:rFonts w:asciiTheme="minorEastAsia" w:eastAsiaTheme="minorEastAsia" w:hAnsiTheme="minorEastAsia" w:cs="宋体" w:hint="eastAsia"/>
                <w:b/>
                <w:color w:val="auto"/>
                <w:sz w:val="24"/>
              </w:rPr>
              <w:t>商务部分</w:t>
            </w:r>
            <w:r>
              <w:rPr>
                <w:rFonts w:asciiTheme="minorEastAsia" w:eastAsiaTheme="minorEastAsia" w:hAnsiTheme="minorEastAsia" w:hint="eastAsia"/>
                <w:b/>
                <w:color w:val="auto"/>
                <w:sz w:val="24"/>
              </w:rPr>
              <w:t>（</w:t>
            </w:r>
            <w:r>
              <w:rPr>
                <w:rFonts w:ascii="宋体" w:hAnsi="宋体" w:hint="eastAsia"/>
                <w:b/>
                <w:color w:val="auto"/>
                <w:sz w:val="24"/>
              </w:rPr>
              <w:t>合计</w:t>
            </w:r>
            <w:r>
              <w:rPr>
                <w:rFonts w:ascii="宋体" w:hAnsi="宋体" w:hint="eastAsia"/>
                <w:b/>
                <w:color w:val="auto"/>
                <w:sz w:val="24"/>
                <w:lang w:val="en-US" w:eastAsia="zh-CN"/>
              </w:rPr>
              <w:t>45</w:t>
            </w:r>
            <w:r>
              <w:rPr>
                <w:rFonts w:ascii="宋体" w:hAnsi="宋体" w:hint="eastAsia"/>
                <w:b/>
                <w:color w:val="auto"/>
                <w:sz w:val="24"/>
              </w:rPr>
              <w:t>分</w:t>
            </w:r>
            <w:r>
              <w:rPr>
                <w:rFonts w:asciiTheme="minorEastAsia" w:eastAsiaTheme="minorEastAsia" w:hAnsiTheme="minorEastAsia" w:hint="eastAsia"/>
                <w:b/>
                <w:color w:val="auto"/>
                <w:sz w:val="24"/>
              </w:rPr>
              <w:t>）</w:t>
            </w:r>
          </w:p>
        </w:tc>
      </w:tr>
      <w:tr>
        <w:tblPrEx>
          <w:tblW w:w="9242" w:type="dxa"/>
          <w:tblInd w:w="93" w:type="dxa"/>
          <w:tblLayout w:type="fixed"/>
          <w:tblCellMar>
            <w:top w:w="0" w:type="dxa"/>
            <w:left w:w="108" w:type="dxa"/>
            <w:bottom w:w="0" w:type="dxa"/>
            <w:right w:w="108" w:type="dxa"/>
          </w:tblCellMar>
        </w:tblPrEx>
        <w:trPr>
          <w:trHeight w:val="883"/>
        </w:trPr>
        <w:tc>
          <w:tcPr>
            <w:tcW w:w="680" w:type="dxa"/>
            <w:tcBorders>
              <w:bottom w:val="single" w:sz="4" w:space="0" w:color="auto"/>
            </w:tcBorders>
            <w:vAlign w:val="center"/>
          </w:tcPr>
          <w:p>
            <w:pPr>
              <w:pStyle w:val="1"/>
              <w:numPr>
                <w:ilvl w:val="0"/>
                <w:numId w:val="17"/>
              </w:numPr>
              <w:ind w:firstLineChars="0"/>
              <w:jc w:val="right"/>
              <w:rPr>
                <w:rFonts w:asciiTheme="minorEastAsia" w:eastAsiaTheme="minorEastAsia" w:hAnsiTheme="minorEastAsia"/>
                <w:color w:val="auto"/>
                <w:sz w:val="24"/>
              </w:rPr>
            </w:pPr>
          </w:p>
        </w:tc>
        <w:tc>
          <w:tcPr>
            <w:tcW w:w="1355" w:type="dxa"/>
            <w:vAlign w:val="center"/>
          </w:tcPr>
          <w:p>
            <w:pPr>
              <w:ind w:left="-63" w:right="-88" w:leftChars="-30" w:rightChars="-42"/>
              <w:jc w:val="center"/>
              <w:rPr>
                <w:rFonts w:asciiTheme="minorEastAsia" w:eastAsiaTheme="minorEastAsia" w:hAnsiTheme="minorEastAsia" w:cs="宋体"/>
                <w:color w:val="auto"/>
                <w:sz w:val="24"/>
              </w:rPr>
            </w:pPr>
            <w:r>
              <w:rPr>
                <w:rFonts w:asciiTheme="minorEastAsia" w:eastAsiaTheme="minorEastAsia" w:hAnsiTheme="minorEastAsia" w:cs="宋体" w:hint="eastAsia"/>
                <w:color w:val="auto"/>
                <w:sz w:val="24"/>
              </w:rPr>
              <w:t>投标人通过相关认证情况</w:t>
            </w:r>
          </w:p>
        </w:tc>
        <w:tc>
          <w:tcPr>
            <w:tcW w:w="5730" w:type="dxa"/>
            <w:vAlign w:val="center"/>
          </w:tcPr>
          <w:p>
            <w:pPr>
              <w:ind w:left="-63" w:right="-88" w:leftChars="-30" w:rightChars="-42"/>
              <w:jc w:val="left"/>
              <w:rPr>
                <w:rFonts w:asciiTheme="minorEastAsia" w:eastAsiaTheme="minorEastAsia" w:hAnsiTheme="minorEastAsia" w:hint="eastAsia"/>
                <w:color w:val="auto"/>
                <w:sz w:val="24"/>
              </w:rPr>
            </w:pPr>
            <w:r>
              <w:rPr>
                <w:rFonts w:asciiTheme="minorEastAsia" w:eastAsiaTheme="minorEastAsia" w:hAnsiTheme="minorEastAsia" w:hint="eastAsia"/>
                <w:color w:val="auto"/>
                <w:sz w:val="24"/>
              </w:rPr>
              <w:t>一、评分内容：</w:t>
            </w:r>
          </w:p>
          <w:p>
            <w:pPr>
              <w:ind w:left="-63" w:right="-88" w:leftChars="-30" w:rightChars="-42"/>
              <w:jc w:val="left"/>
              <w:rPr>
                <w:rFonts w:asciiTheme="minorEastAsia" w:eastAsiaTheme="minorEastAsia" w:hAnsiTheme="minorEastAsia" w:hint="eastAsia"/>
                <w:color w:val="auto"/>
                <w:sz w:val="24"/>
              </w:rPr>
            </w:pPr>
            <w:r>
              <w:rPr>
                <w:rFonts w:asciiTheme="minorEastAsia" w:eastAsiaTheme="minorEastAsia" w:hAnsiTheme="minorEastAsia" w:hint="eastAsia"/>
                <w:color w:val="auto"/>
                <w:sz w:val="24"/>
              </w:rPr>
              <w:t>投标人符合下列任意一项得100分，否则不得分。</w:t>
            </w:r>
          </w:p>
          <w:p>
            <w:pPr>
              <w:ind w:left="-63" w:right="-88" w:leftChars="-30" w:rightChars="-42"/>
              <w:jc w:val="left"/>
              <w:rPr>
                <w:rFonts w:asciiTheme="minorEastAsia" w:eastAsiaTheme="minorEastAsia" w:hAnsiTheme="minorEastAsia" w:hint="eastAsia"/>
                <w:color w:val="auto"/>
                <w:sz w:val="24"/>
              </w:rPr>
            </w:pPr>
            <w:r>
              <w:rPr>
                <w:rFonts w:asciiTheme="minorEastAsia" w:eastAsiaTheme="minorEastAsia" w:hAnsiTheme="minorEastAsia" w:hint="eastAsia"/>
                <w:color w:val="auto"/>
                <w:sz w:val="24"/>
              </w:rPr>
              <w:t>1.经清洁发展机制（CDM）执行理事会批准的指定经营实体（DOE）；</w:t>
            </w:r>
          </w:p>
          <w:p>
            <w:pPr>
              <w:ind w:left="-63" w:right="-88" w:leftChars="-30" w:rightChars="-42"/>
              <w:jc w:val="left"/>
              <w:rPr>
                <w:rFonts w:asciiTheme="minorEastAsia" w:eastAsiaTheme="minorEastAsia" w:hAnsiTheme="minorEastAsia" w:hint="eastAsia"/>
                <w:color w:val="auto"/>
                <w:sz w:val="24"/>
              </w:rPr>
            </w:pPr>
            <w:r>
              <w:rPr>
                <w:rFonts w:asciiTheme="minorEastAsia" w:eastAsiaTheme="minorEastAsia" w:hAnsiTheme="minorEastAsia" w:hint="eastAsia"/>
                <w:color w:val="auto"/>
                <w:sz w:val="24"/>
              </w:rPr>
              <w:t>2.经国家部门备案的温室气体自愿减排项目审定与核证机构；</w:t>
            </w:r>
          </w:p>
          <w:p>
            <w:pPr>
              <w:ind w:left="-63" w:right="-88" w:leftChars="-30" w:rightChars="-42"/>
              <w:jc w:val="left"/>
              <w:rPr>
                <w:rFonts w:asciiTheme="minorEastAsia" w:eastAsiaTheme="minorEastAsia" w:hAnsiTheme="minorEastAsia" w:hint="eastAsia"/>
                <w:color w:val="auto"/>
                <w:sz w:val="24"/>
              </w:rPr>
            </w:pPr>
            <w:r>
              <w:rPr>
                <w:rFonts w:asciiTheme="minorEastAsia" w:eastAsiaTheme="minorEastAsia" w:hAnsiTheme="minorEastAsia" w:hint="eastAsia"/>
                <w:color w:val="auto"/>
                <w:sz w:val="24"/>
              </w:rPr>
              <w:t>3.经市级或以上国家机关备案的温室气体排放（或碳排放）核查机构。</w:t>
            </w:r>
          </w:p>
          <w:p>
            <w:pPr>
              <w:ind w:left="-63" w:right="-88" w:leftChars="-30" w:rightChars="-42"/>
              <w:jc w:val="left"/>
              <w:rPr>
                <w:rFonts w:asciiTheme="minorEastAsia" w:eastAsiaTheme="minorEastAsia" w:hAnsiTheme="minorEastAsia" w:hint="eastAsia"/>
                <w:color w:val="auto"/>
                <w:sz w:val="24"/>
              </w:rPr>
            </w:pPr>
            <w:r>
              <w:rPr>
                <w:rFonts w:asciiTheme="minorEastAsia" w:eastAsiaTheme="minorEastAsia" w:hAnsiTheme="minorEastAsia" w:hint="eastAsia"/>
                <w:color w:val="auto"/>
                <w:sz w:val="24"/>
              </w:rPr>
              <w:t>二、评分依据：</w:t>
            </w:r>
          </w:p>
          <w:p>
            <w:pPr>
              <w:ind w:left="-63" w:right="-88" w:leftChars="-30" w:rightChars="-42"/>
              <w:jc w:val="left"/>
              <w:rPr>
                <w:rFonts w:asciiTheme="minorEastAsia" w:eastAsiaTheme="minorEastAsia" w:hAnsiTheme="minorEastAsia" w:hint="eastAsia"/>
                <w:color w:val="auto"/>
                <w:sz w:val="24"/>
              </w:rPr>
            </w:pPr>
            <w:r>
              <w:rPr>
                <w:rFonts w:asciiTheme="minorEastAsia" w:eastAsiaTheme="minorEastAsia" w:hAnsiTheme="minorEastAsia" w:hint="eastAsia"/>
                <w:color w:val="auto"/>
                <w:sz w:val="24"/>
              </w:rPr>
              <w:t>1.要求提供有效的官方批复文件等相关证明材料作为得分依据。</w:t>
            </w:r>
          </w:p>
          <w:p>
            <w:pPr>
              <w:ind w:left="-63" w:right="-88" w:leftChars="-30" w:rightChars="-42"/>
              <w:jc w:val="left"/>
              <w:rPr>
                <w:rFonts w:asciiTheme="minorEastAsia" w:eastAsiaTheme="minorEastAsia" w:hAnsiTheme="minorEastAsia"/>
                <w:color w:val="auto"/>
                <w:sz w:val="24"/>
              </w:rPr>
            </w:pPr>
            <w:r>
              <w:rPr>
                <w:rFonts w:asciiTheme="minorEastAsia" w:eastAsiaTheme="minorEastAsia" w:hAnsiTheme="minorEastAsia" w:hint="eastAsia"/>
                <w:color w:val="auto"/>
                <w:sz w:val="24"/>
              </w:rPr>
              <w:t>2.以上资料均要求提供扫描件，未提供或无法判断的不得分。</w:t>
            </w:r>
          </w:p>
        </w:tc>
        <w:tc>
          <w:tcPr>
            <w:tcW w:w="685" w:type="dxa"/>
            <w:tcBorders>
              <w:right w:val="single" w:sz="4" w:space="0" w:color="auto"/>
            </w:tcBorders>
            <w:vAlign w:val="center"/>
          </w:tcPr>
          <w:p>
            <w:pPr>
              <w:ind w:left="-63" w:right="-88" w:leftChars="-30" w:rightChars="-42"/>
              <w:jc w:val="center"/>
              <w:rPr>
                <w:rFonts w:asciiTheme="minorEastAsia" w:eastAsiaTheme="minorEastAsia" w:hAnsiTheme="minorEastAsia" w:hint="eastAsia"/>
                <w:color w:val="auto"/>
                <w:sz w:val="24"/>
                <w:lang w:val="en-US" w:eastAsia="zh-CN"/>
              </w:rPr>
            </w:pPr>
            <w:r>
              <w:rPr>
                <w:rFonts w:asciiTheme="minorEastAsia" w:eastAsiaTheme="minorEastAsia" w:hAnsiTheme="minorEastAsia" w:hint="eastAsia"/>
                <w:color w:val="auto"/>
                <w:sz w:val="24"/>
                <w:lang w:val="en-US" w:eastAsia="zh-CN"/>
              </w:rPr>
              <w:t>3</w:t>
            </w:r>
          </w:p>
        </w:tc>
        <w:tc>
          <w:tcPr>
            <w:tcW w:w="792" w:type="dxa"/>
            <w:tcBorders>
              <w:left w:val="single" w:sz="4" w:space="0" w:color="auto"/>
            </w:tcBorders>
            <w:vAlign w:val="center"/>
          </w:tcPr>
          <w:p>
            <w:pPr>
              <w:ind w:left="-78" w:right="-74" w:leftChars="-37" w:rightChars="-35"/>
              <w:jc w:val="center"/>
              <w:rPr>
                <w:rFonts w:asciiTheme="minorEastAsia" w:eastAsiaTheme="minorEastAsia" w:hAnsiTheme="minorEastAsia" w:cs="宋体" w:hint="eastAsia"/>
                <w:color w:val="auto"/>
                <w:sz w:val="24"/>
                <w:lang w:val="en-US" w:eastAsia="zh-CN"/>
              </w:rPr>
            </w:pPr>
            <w:r>
              <w:rPr>
                <w:rFonts w:asciiTheme="minorEastAsia" w:eastAsiaTheme="minorEastAsia" w:hAnsiTheme="minorEastAsia" w:cs="宋体" w:hint="eastAsia"/>
                <w:color w:val="auto"/>
                <w:sz w:val="24"/>
                <w:lang w:val="en-US" w:eastAsia="zh-CN"/>
              </w:rPr>
              <w:t>3</w:t>
            </w:r>
          </w:p>
        </w:tc>
      </w:tr>
      <w:tr>
        <w:tblPrEx>
          <w:tblW w:w="9242" w:type="dxa"/>
          <w:tblInd w:w="93" w:type="dxa"/>
          <w:tblLayout w:type="fixed"/>
          <w:tblCellMar>
            <w:top w:w="0" w:type="dxa"/>
            <w:left w:w="108" w:type="dxa"/>
            <w:bottom w:w="0" w:type="dxa"/>
            <w:right w:w="108" w:type="dxa"/>
          </w:tblCellMar>
        </w:tblPrEx>
        <w:trPr>
          <w:trHeight w:val="443"/>
        </w:trPr>
        <w:tc>
          <w:tcPr>
            <w:tcW w:w="680" w:type="dxa"/>
            <w:tcBorders>
              <w:top w:val="single" w:sz="4" w:space="0" w:color="auto"/>
              <w:bottom w:val="single" w:sz="4" w:space="0" w:color="auto"/>
            </w:tcBorders>
            <w:vAlign w:val="center"/>
          </w:tcPr>
          <w:p>
            <w:pPr>
              <w:pStyle w:val="1"/>
              <w:numPr>
                <w:ilvl w:val="0"/>
                <w:numId w:val="17"/>
              </w:numPr>
              <w:ind w:firstLineChars="0"/>
              <w:jc w:val="right"/>
              <w:rPr>
                <w:rFonts w:asciiTheme="minorEastAsia" w:eastAsiaTheme="minorEastAsia" w:hAnsiTheme="minorEastAsia"/>
                <w:color w:val="auto"/>
                <w:sz w:val="24"/>
              </w:rPr>
            </w:pPr>
          </w:p>
        </w:tc>
        <w:tc>
          <w:tcPr>
            <w:tcW w:w="1355" w:type="dxa"/>
            <w:vAlign w:val="center"/>
          </w:tcPr>
          <w:p>
            <w:pPr>
              <w:jc w:val="center"/>
              <w:rPr>
                <w:rFonts w:asciiTheme="minorEastAsia" w:eastAsiaTheme="minorEastAsia" w:hAnsiTheme="minorEastAsia"/>
                <w:color w:val="auto"/>
                <w:sz w:val="24"/>
              </w:rPr>
            </w:pPr>
            <w:r>
              <w:rPr>
                <w:rFonts w:asciiTheme="minorEastAsia" w:eastAsiaTheme="minorEastAsia" w:hAnsiTheme="minorEastAsia" w:hint="eastAsia"/>
                <w:color w:val="auto"/>
                <w:sz w:val="24"/>
              </w:rPr>
              <w:t>投标人同类项目业绩情况</w:t>
            </w:r>
          </w:p>
        </w:tc>
        <w:tc>
          <w:tcPr>
            <w:tcW w:w="5730" w:type="dxa"/>
            <w:vAlign w:val="center"/>
          </w:tcPr>
          <w:p>
            <w:pPr>
              <w:ind w:left="-78" w:right="-74" w:leftChars="-37" w:rightChars="-35"/>
              <w:jc w:val="left"/>
              <w:rPr>
                <w:rFonts w:asciiTheme="minorEastAsia" w:eastAsiaTheme="minorEastAsia" w:hAnsiTheme="minorEastAsia" w:cs="宋体" w:hint="eastAsia"/>
                <w:color w:val="auto"/>
                <w:sz w:val="24"/>
              </w:rPr>
            </w:pPr>
            <w:r>
              <w:rPr>
                <w:rFonts w:asciiTheme="minorEastAsia" w:eastAsiaTheme="minorEastAsia" w:hAnsiTheme="minorEastAsia" w:cs="宋体" w:hint="eastAsia"/>
                <w:color w:val="auto"/>
                <w:sz w:val="24"/>
              </w:rPr>
              <w:t>承担市级或以上国家机关委托的基准年碳排放核查项目情况：核查 30-50家企业，得20分；51-70家企业，得50分；71家-100家企业，得80分；100家以上（不含100家）企业，得100分。</w:t>
            </w:r>
          </w:p>
          <w:p>
            <w:pPr>
              <w:ind w:left="-78" w:right="-74" w:leftChars="-37" w:rightChars="-35"/>
              <w:jc w:val="left"/>
              <w:rPr>
                <w:rFonts w:asciiTheme="minorEastAsia" w:eastAsiaTheme="minorEastAsia" w:hAnsiTheme="minorEastAsia" w:cs="宋体" w:hint="eastAsia"/>
                <w:color w:val="auto"/>
                <w:sz w:val="24"/>
              </w:rPr>
            </w:pPr>
            <w:r>
              <w:rPr>
                <w:rFonts w:asciiTheme="minorEastAsia" w:eastAsiaTheme="minorEastAsia" w:hAnsiTheme="minorEastAsia" w:cs="宋体" w:hint="eastAsia"/>
                <w:color w:val="auto"/>
                <w:sz w:val="24"/>
              </w:rPr>
              <w:t>二、评分依据：</w:t>
            </w:r>
          </w:p>
          <w:p>
            <w:pPr>
              <w:ind w:left="-78" w:right="-74" w:leftChars="-37" w:rightChars="-35"/>
              <w:jc w:val="left"/>
              <w:rPr>
                <w:rFonts w:asciiTheme="minorEastAsia" w:eastAsiaTheme="minorEastAsia" w:hAnsiTheme="minorEastAsia" w:cs="宋体" w:hint="eastAsia"/>
                <w:color w:val="auto"/>
                <w:sz w:val="24"/>
              </w:rPr>
            </w:pPr>
            <w:r>
              <w:rPr>
                <w:rFonts w:asciiTheme="minorEastAsia" w:eastAsiaTheme="minorEastAsia" w:hAnsiTheme="minorEastAsia" w:cs="宋体" w:hint="eastAsia"/>
                <w:color w:val="auto"/>
                <w:sz w:val="24"/>
              </w:rPr>
              <w:t>1.基准年碳排放核查项目是指：用于获取企业历史排放数据的碳核查项目，被核查的数据年份应为项目服务期开始前连续三年。</w:t>
            </w:r>
          </w:p>
          <w:p>
            <w:pPr>
              <w:ind w:left="-78" w:right="-74" w:leftChars="-37" w:rightChars="-35"/>
              <w:jc w:val="left"/>
              <w:rPr>
                <w:rFonts w:asciiTheme="minorEastAsia" w:eastAsiaTheme="minorEastAsia" w:hAnsiTheme="minorEastAsia" w:cs="宋体" w:hint="eastAsia"/>
                <w:color w:val="auto"/>
                <w:sz w:val="24"/>
              </w:rPr>
            </w:pPr>
            <w:r>
              <w:rPr>
                <w:rFonts w:asciiTheme="minorEastAsia" w:eastAsiaTheme="minorEastAsia" w:hAnsiTheme="minorEastAsia" w:cs="宋体" w:hint="eastAsia"/>
                <w:color w:val="auto"/>
                <w:sz w:val="24"/>
              </w:rPr>
              <w:t>2.要求提供项目有效合同关键信息（含签订合同双方的单位名称、合同项目名称与含签订合同双方的落款盖章、签订日期的关键页）作为得分依据。</w:t>
            </w:r>
          </w:p>
          <w:p>
            <w:pPr>
              <w:ind w:left="-78" w:right="-74" w:leftChars="-37" w:rightChars="-35"/>
              <w:jc w:val="left"/>
              <w:rPr>
                <w:rFonts w:asciiTheme="minorEastAsia" w:eastAsiaTheme="minorEastAsia" w:hAnsiTheme="minorEastAsia" w:cs="宋体" w:hint="eastAsia"/>
                <w:color w:val="auto"/>
                <w:sz w:val="24"/>
              </w:rPr>
            </w:pPr>
            <w:r>
              <w:rPr>
                <w:rFonts w:asciiTheme="minorEastAsia" w:eastAsiaTheme="minorEastAsia" w:hAnsiTheme="minorEastAsia" w:cs="宋体" w:hint="eastAsia"/>
                <w:color w:val="auto"/>
                <w:sz w:val="24"/>
              </w:rPr>
              <w:t>3.通过合同关键信息无法判断是否得分的，也可以提供能证明得分的其它证明资料，如项目报告或合同甲方出具的证明文件等。</w:t>
            </w:r>
          </w:p>
          <w:p>
            <w:pPr>
              <w:ind w:left="-78" w:right="-74" w:leftChars="-37" w:rightChars="-35"/>
              <w:jc w:val="left"/>
              <w:rPr>
                <w:rFonts w:asciiTheme="minorEastAsia" w:eastAsiaTheme="minorEastAsia" w:hAnsiTheme="minorEastAsia" w:cs="宋体"/>
                <w:color w:val="auto"/>
                <w:sz w:val="24"/>
              </w:rPr>
            </w:pPr>
            <w:r>
              <w:rPr>
                <w:rFonts w:asciiTheme="minorEastAsia" w:eastAsiaTheme="minorEastAsia" w:hAnsiTheme="minorEastAsia" w:cs="宋体" w:hint="eastAsia"/>
                <w:color w:val="auto"/>
                <w:sz w:val="24"/>
              </w:rPr>
              <w:t>4.以上资料均要求提供扫描件，未提供或无法判断的不得分。</w:t>
            </w:r>
          </w:p>
        </w:tc>
        <w:tc>
          <w:tcPr>
            <w:tcW w:w="685" w:type="dxa"/>
            <w:tcBorders>
              <w:right w:val="single" w:sz="4" w:space="0" w:color="auto"/>
            </w:tcBorders>
            <w:vAlign w:val="center"/>
          </w:tcPr>
          <w:p>
            <w:pPr>
              <w:ind w:left="-63" w:right="-88" w:leftChars="-30" w:rightChars="-42"/>
              <w:jc w:val="center"/>
              <w:rPr>
                <w:rFonts w:asciiTheme="minorEastAsia" w:eastAsiaTheme="minorEastAsia" w:hAnsiTheme="minorEastAsia" w:hint="eastAsia"/>
                <w:color w:val="auto"/>
                <w:sz w:val="24"/>
                <w:lang w:val="en-US" w:eastAsia="zh-CN"/>
              </w:rPr>
            </w:pPr>
            <w:r>
              <w:rPr>
                <w:rFonts w:asciiTheme="minorEastAsia" w:eastAsiaTheme="minorEastAsia" w:hAnsiTheme="minorEastAsia" w:hint="eastAsia"/>
                <w:color w:val="auto"/>
                <w:sz w:val="24"/>
                <w:lang w:val="en-US" w:eastAsia="zh-CN"/>
              </w:rPr>
              <w:t>3</w:t>
            </w:r>
          </w:p>
        </w:tc>
        <w:tc>
          <w:tcPr>
            <w:tcW w:w="792" w:type="dxa"/>
            <w:tcBorders>
              <w:left w:val="single" w:sz="4" w:space="0" w:color="auto"/>
            </w:tcBorders>
            <w:vAlign w:val="center"/>
          </w:tcPr>
          <w:p>
            <w:pPr>
              <w:ind w:left="-78" w:right="-74" w:leftChars="-37" w:rightChars="-35"/>
              <w:jc w:val="center"/>
              <w:rPr>
                <w:rFonts w:asciiTheme="minorEastAsia" w:eastAsiaTheme="minorEastAsia" w:hAnsiTheme="minorEastAsia" w:cs="宋体" w:hint="eastAsia"/>
                <w:color w:val="auto"/>
                <w:sz w:val="24"/>
                <w:lang w:val="en-US" w:eastAsia="zh-CN"/>
              </w:rPr>
            </w:pPr>
            <w:r>
              <w:rPr>
                <w:rFonts w:asciiTheme="minorEastAsia" w:eastAsiaTheme="minorEastAsia" w:hAnsiTheme="minorEastAsia" w:cs="宋体" w:hint="eastAsia"/>
                <w:color w:val="auto"/>
                <w:sz w:val="24"/>
                <w:lang w:val="en-US" w:eastAsia="zh-CN"/>
              </w:rPr>
              <w:t>3</w:t>
            </w:r>
          </w:p>
        </w:tc>
      </w:tr>
      <w:tr>
        <w:tblPrEx>
          <w:tblW w:w="9242" w:type="dxa"/>
          <w:tblInd w:w="93" w:type="dxa"/>
          <w:tblLayout w:type="fixed"/>
          <w:tblCellMar>
            <w:top w:w="0" w:type="dxa"/>
            <w:left w:w="108" w:type="dxa"/>
            <w:bottom w:w="0" w:type="dxa"/>
            <w:right w:w="108" w:type="dxa"/>
          </w:tblCellMar>
        </w:tblPrEx>
        <w:trPr>
          <w:trHeight w:val="883"/>
        </w:trPr>
        <w:tc>
          <w:tcPr>
            <w:tcW w:w="680" w:type="dxa"/>
            <w:tcBorders>
              <w:top w:val="single" w:sz="4" w:space="0" w:color="auto"/>
              <w:bottom w:val="single" w:sz="4" w:space="0" w:color="auto"/>
            </w:tcBorders>
            <w:vAlign w:val="center"/>
          </w:tcPr>
          <w:p>
            <w:pPr>
              <w:pStyle w:val="1"/>
              <w:numPr>
                <w:ilvl w:val="0"/>
                <w:numId w:val="17"/>
              </w:numPr>
              <w:ind w:firstLineChars="0"/>
              <w:jc w:val="right"/>
              <w:rPr>
                <w:rFonts w:asciiTheme="minorEastAsia" w:eastAsiaTheme="minorEastAsia" w:hAnsiTheme="minorEastAsia"/>
                <w:color w:val="auto"/>
                <w:sz w:val="24"/>
              </w:rPr>
            </w:pPr>
          </w:p>
        </w:tc>
        <w:tc>
          <w:tcPr>
            <w:tcW w:w="1355" w:type="dxa"/>
            <w:vAlign w:val="center"/>
          </w:tcPr>
          <w:p>
            <w:pPr>
              <w:jc w:val="center"/>
              <w:rPr>
                <w:rFonts w:asciiTheme="minorEastAsia" w:eastAsiaTheme="minorEastAsia" w:hAnsiTheme="minorEastAsia"/>
                <w:color w:val="auto"/>
                <w:sz w:val="24"/>
              </w:rPr>
            </w:pPr>
            <w:r>
              <w:rPr>
                <w:rFonts w:asciiTheme="minorEastAsia" w:eastAsiaTheme="minorEastAsia" w:hAnsiTheme="minorEastAsia" w:hint="eastAsia"/>
                <w:color w:val="auto"/>
                <w:sz w:val="24"/>
              </w:rPr>
              <w:t>投标人获奖情况</w:t>
            </w:r>
          </w:p>
        </w:tc>
        <w:tc>
          <w:tcPr>
            <w:tcW w:w="5730" w:type="dxa"/>
            <w:vAlign w:val="center"/>
          </w:tcPr>
          <w:p>
            <w:pPr>
              <w:ind w:left="-78" w:right="-74" w:leftChars="-37" w:rightChars="-35"/>
              <w:jc w:val="left"/>
              <w:rPr>
                <w:rFonts w:asciiTheme="minorEastAsia" w:eastAsiaTheme="minorEastAsia" w:hAnsiTheme="minorEastAsia" w:cs="宋体" w:hint="eastAsia"/>
                <w:color w:val="auto"/>
                <w:sz w:val="24"/>
                <w:lang w:val="zh-CN"/>
              </w:rPr>
            </w:pPr>
            <w:r>
              <w:rPr>
                <w:rFonts w:asciiTheme="minorEastAsia" w:eastAsiaTheme="minorEastAsia" w:hAnsiTheme="minorEastAsia" w:cs="宋体" w:hint="eastAsia"/>
                <w:color w:val="auto"/>
                <w:sz w:val="24"/>
              </w:rPr>
              <w:t>一、</w:t>
            </w:r>
            <w:r>
              <w:rPr>
                <w:rFonts w:asciiTheme="minorEastAsia" w:eastAsiaTheme="minorEastAsia" w:hAnsiTheme="minorEastAsia" w:cs="宋体" w:hint="eastAsia"/>
                <w:color w:val="auto"/>
                <w:sz w:val="24"/>
                <w:lang w:val="zh-CN"/>
              </w:rPr>
              <w:t>评分内容：</w:t>
            </w:r>
          </w:p>
          <w:p>
            <w:pPr>
              <w:ind w:left="-78" w:right="-74" w:leftChars="-37" w:rightChars="-35"/>
              <w:jc w:val="left"/>
              <w:rPr>
                <w:rFonts w:asciiTheme="minorEastAsia" w:eastAsiaTheme="minorEastAsia" w:hAnsiTheme="minorEastAsia" w:cs="宋体" w:hint="eastAsia"/>
                <w:color w:val="auto"/>
                <w:sz w:val="24"/>
                <w:lang w:val="zh-CN"/>
              </w:rPr>
            </w:pPr>
            <w:r>
              <w:rPr>
                <w:rFonts w:asciiTheme="minorEastAsia" w:eastAsiaTheme="minorEastAsia" w:hAnsiTheme="minorEastAsia" w:cs="宋体" w:hint="eastAsia"/>
                <w:color w:val="auto"/>
                <w:sz w:val="24"/>
                <w:lang w:val="en-US" w:eastAsia="zh-CN"/>
              </w:rPr>
              <w:t>获得过</w:t>
            </w:r>
            <w:r>
              <w:rPr>
                <w:rFonts w:asciiTheme="minorEastAsia" w:eastAsiaTheme="minorEastAsia" w:hAnsiTheme="minorEastAsia" w:cs="宋体" w:hint="eastAsia"/>
                <w:color w:val="auto"/>
                <w:sz w:val="24"/>
              </w:rPr>
              <w:t>市级或以上国家机关公布碳排放核查报告质量评价结果为“优秀”的得100分；否则不得分。</w:t>
            </w:r>
          </w:p>
          <w:p>
            <w:pPr>
              <w:ind w:left="-78" w:right="-74" w:leftChars="-37" w:rightChars="-35"/>
              <w:jc w:val="left"/>
              <w:rPr>
                <w:rFonts w:asciiTheme="minorEastAsia" w:eastAsiaTheme="minorEastAsia" w:hAnsiTheme="minorEastAsia" w:cs="宋体" w:hint="eastAsia"/>
                <w:color w:val="auto"/>
                <w:sz w:val="24"/>
              </w:rPr>
            </w:pPr>
            <w:r>
              <w:rPr>
                <w:rFonts w:asciiTheme="minorEastAsia" w:eastAsiaTheme="minorEastAsia" w:hAnsiTheme="minorEastAsia" w:cs="宋体" w:hint="eastAsia"/>
                <w:color w:val="auto"/>
                <w:sz w:val="24"/>
              </w:rPr>
              <w:t>二、评分依据：</w:t>
            </w:r>
          </w:p>
          <w:p>
            <w:pPr>
              <w:ind w:left="-78" w:right="-74" w:leftChars="-37" w:rightChars="-35"/>
              <w:jc w:val="left"/>
              <w:rPr>
                <w:rFonts w:asciiTheme="minorEastAsia" w:eastAsiaTheme="minorEastAsia" w:hAnsiTheme="minorEastAsia" w:cs="宋体" w:hint="eastAsia"/>
                <w:color w:val="auto"/>
                <w:sz w:val="24"/>
              </w:rPr>
            </w:pPr>
            <w:r>
              <w:rPr>
                <w:rFonts w:asciiTheme="minorEastAsia" w:eastAsiaTheme="minorEastAsia" w:hAnsiTheme="minorEastAsia" w:cs="宋体" w:hint="eastAsia"/>
                <w:color w:val="auto"/>
                <w:sz w:val="24"/>
              </w:rPr>
              <w:t>1.要求提供有效的评价结果公告等相关证明材料作为得分依据。</w:t>
            </w:r>
          </w:p>
          <w:p>
            <w:pPr>
              <w:ind w:left="-78" w:right="-74" w:leftChars="-37" w:rightChars="-35"/>
              <w:jc w:val="left"/>
              <w:rPr>
                <w:rFonts w:asciiTheme="minorEastAsia" w:eastAsiaTheme="minorEastAsia" w:hAnsiTheme="minorEastAsia" w:cs="宋体"/>
                <w:color w:val="auto"/>
                <w:sz w:val="24"/>
              </w:rPr>
            </w:pPr>
            <w:r>
              <w:rPr>
                <w:rFonts w:asciiTheme="minorEastAsia" w:eastAsiaTheme="minorEastAsia" w:hAnsiTheme="minorEastAsia" w:cs="宋体" w:hint="eastAsia"/>
                <w:color w:val="auto"/>
                <w:sz w:val="24"/>
              </w:rPr>
              <w:t>2.以上资料均要求提供扫描件，未提供或无法判断的不得分。</w:t>
            </w:r>
          </w:p>
        </w:tc>
        <w:tc>
          <w:tcPr>
            <w:tcW w:w="685" w:type="dxa"/>
            <w:tcBorders>
              <w:right w:val="single" w:sz="4" w:space="0" w:color="auto"/>
            </w:tcBorders>
            <w:vAlign w:val="center"/>
          </w:tcPr>
          <w:p>
            <w:pPr>
              <w:ind w:left="-63" w:right="-88" w:leftChars="-30" w:rightChars="-42"/>
              <w:jc w:val="center"/>
              <w:rPr>
                <w:rFonts w:asciiTheme="minorEastAsia" w:eastAsiaTheme="minorEastAsia" w:hAnsiTheme="minorEastAsia" w:cs="宋体" w:hint="eastAsia"/>
                <w:color w:val="auto"/>
                <w:sz w:val="24"/>
                <w:lang w:val="en-US" w:eastAsia="zh-CN"/>
              </w:rPr>
            </w:pPr>
            <w:r>
              <w:rPr>
                <w:rFonts w:asciiTheme="minorEastAsia" w:eastAsiaTheme="minorEastAsia" w:hAnsiTheme="minorEastAsia" w:cs="宋体" w:hint="eastAsia"/>
                <w:color w:val="auto"/>
                <w:sz w:val="24"/>
                <w:lang w:val="en-US" w:eastAsia="zh-CN"/>
              </w:rPr>
              <w:t>2</w:t>
            </w:r>
          </w:p>
        </w:tc>
        <w:tc>
          <w:tcPr>
            <w:tcW w:w="792" w:type="dxa"/>
            <w:tcBorders>
              <w:left w:val="single" w:sz="4" w:space="0" w:color="auto"/>
            </w:tcBorders>
            <w:vAlign w:val="center"/>
          </w:tcPr>
          <w:p>
            <w:pPr>
              <w:ind w:left="-78" w:right="-74" w:leftChars="-37" w:rightChars="-35"/>
              <w:jc w:val="center"/>
              <w:rPr>
                <w:rFonts w:asciiTheme="minorEastAsia" w:eastAsiaTheme="minorEastAsia" w:hAnsiTheme="minorEastAsia" w:hint="eastAsia"/>
                <w:color w:val="auto"/>
                <w:sz w:val="24"/>
                <w:lang w:val="en-US" w:eastAsia="zh-CN"/>
              </w:rPr>
            </w:pPr>
            <w:r>
              <w:rPr>
                <w:rFonts w:asciiTheme="minorEastAsia" w:eastAsiaTheme="minorEastAsia" w:hAnsiTheme="minorEastAsia" w:hint="eastAsia"/>
                <w:color w:val="auto"/>
                <w:sz w:val="24"/>
                <w:lang w:val="en-US" w:eastAsia="zh-CN"/>
              </w:rPr>
              <w:t>2</w:t>
            </w:r>
          </w:p>
        </w:tc>
      </w:tr>
      <w:tr>
        <w:tblPrEx>
          <w:tblW w:w="9242" w:type="dxa"/>
          <w:tblInd w:w="93" w:type="dxa"/>
          <w:tblLayout w:type="fixed"/>
          <w:tblCellMar>
            <w:top w:w="0" w:type="dxa"/>
            <w:left w:w="108" w:type="dxa"/>
            <w:bottom w:w="0" w:type="dxa"/>
            <w:right w:w="108" w:type="dxa"/>
          </w:tblCellMar>
        </w:tblPrEx>
        <w:trPr>
          <w:trHeight w:val="883"/>
        </w:trPr>
        <w:tc>
          <w:tcPr>
            <w:tcW w:w="680" w:type="dxa"/>
            <w:tcBorders>
              <w:top w:val="single" w:sz="4" w:space="0" w:color="auto"/>
              <w:bottom w:val="single" w:sz="4" w:space="0" w:color="auto"/>
            </w:tcBorders>
            <w:vAlign w:val="center"/>
          </w:tcPr>
          <w:p>
            <w:pPr>
              <w:pStyle w:val="1"/>
              <w:numPr>
                <w:ilvl w:val="0"/>
                <w:numId w:val="17"/>
              </w:numPr>
              <w:ind w:firstLineChars="0"/>
              <w:jc w:val="right"/>
              <w:rPr>
                <w:rFonts w:asciiTheme="minorEastAsia" w:eastAsiaTheme="minorEastAsia" w:hAnsiTheme="minorEastAsia"/>
                <w:color w:val="auto"/>
                <w:sz w:val="24"/>
              </w:rPr>
            </w:pPr>
          </w:p>
        </w:tc>
        <w:tc>
          <w:tcPr>
            <w:tcW w:w="1355" w:type="dxa"/>
            <w:vAlign w:val="center"/>
          </w:tcPr>
          <w:p>
            <w:pPr>
              <w:jc w:val="center"/>
              <w:rPr>
                <w:rFonts w:asciiTheme="minorEastAsia" w:eastAsiaTheme="minorEastAsia" w:hAnsiTheme="minorEastAsia"/>
                <w:color w:val="auto"/>
                <w:sz w:val="24"/>
              </w:rPr>
            </w:pPr>
            <w:r>
              <w:rPr>
                <w:rFonts w:asciiTheme="minorEastAsia" w:eastAsiaTheme="minorEastAsia" w:hAnsiTheme="minorEastAsia" w:hint="eastAsia"/>
                <w:color w:val="auto"/>
                <w:sz w:val="24"/>
              </w:rPr>
              <w:t>拟安排的项目负责人情况（仅限一人）</w:t>
            </w:r>
          </w:p>
        </w:tc>
        <w:tc>
          <w:tcPr>
            <w:tcW w:w="5730" w:type="dxa"/>
            <w:vAlign w:val="center"/>
          </w:tcPr>
          <w:p>
            <w:pPr>
              <w:spacing w:line="360" w:lineRule="exact"/>
              <w:jc w:val="left"/>
              <w:rPr>
                <w:rFonts w:asciiTheme="minorEastAsia" w:eastAsiaTheme="minorEastAsia" w:hAnsiTheme="minorEastAsia" w:cs="宋体" w:hint="eastAsia"/>
                <w:color w:val="auto"/>
                <w:sz w:val="24"/>
              </w:rPr>
            </w:pPr>
            <w:r>
              <w:rPr>
                <w:rFonts w:asciiTheme="minorEastAsia" w:eastAsiaTheme="minorEastAsia" w:hAnsiTheme="minorEastAsia" w:cs="宋体" w:hint="eastAsia"/>
                <w:color w:val="auto"/>
                <w:sz w:val="24"/>
              </w:rPr>
              <w:t>评分内容：项目负责人须为投标人本单位人员，否则</w:t>
            </w:r>
          </w:p>
          <w:p>
            <w:pPr>
              <w:spacing w:line="360" w:lineRule="exact"/>
              <w:jc w:val="left"/>
              <w:rPr>
                <w:rFonts w:asciiTheme="minorEastAsia" w:eastAsiaTheme="minorEastAsia" w:hAnsiTheme="minorEastAsia" w:cs="宋体" w:hint="eastAsia"/>
                <w:color w:val="auto"/>
                <w:sz w:val="24"/>
              </w:rPr>
            </w:pPr>
            <w:r>
              <w:rPr>
                <w:rFonts w:asciiTheme="minorEastAsia" w:eastAsiaTheme="minorEastAsia" w:hAnsiTheme="minorEastAsia" w:cs="宋体" w:hint="eastAsia"/>
                <w:color w:val="auto"/>
                <w:sz w:val="24"/>
              </w:rPr>
              <w:t>不得分，在此基础上按下述评分。</w:t>
            </w:r>
          </w:p>
          <w:p>
            <w:pPr>
              <w:spacing w:line="360" w:lineRule="exact"/>
              <w:jc w:val="left"/>
              <w:rPr>
                <w:rFonts w:asciiTheme="minorEastAsia" w:eastAsiaTheme="minorEastAsia" w:hAnsiTheme="minorEastAsia" w:cs="宋体" w:hint="eastAsia"/>
                <w:color w:val="auto"/>
                <w:sz w:val="24"/>
              </w:rPr>
            </w:pPr>
            <w:r>
              <w:rPr>
                <w:rFonts w:asciiTheme="minorEastAsia" w:eastAsiaTheme="minorEastAsia" w:hAnsiTheme="minorEastAsia" w:cs="宋体" w:hint="eastAsia"/>
                <w:color w:val="auto"/>
                <w:sz w:val="24"/>
              </w:rPr>
              <w:t>1.具有标准化或环境类专业副高级或以上职称，得10分；否则不得分。</w:t>
            </w:r>
          </w:p>
          <w:p>
            <w:pPr>
              <w:spacing w:line="360" w:lineRule="exact"/>
              <w:jc w:val="left"/>
              <w:rPr>
                <w:rFonts w:asciiTheme="minorEastAsia" w:eastAsiaTheme="minorEastAsia" w:hAnsiTheme="minorEastAsia" w:cs="宋体" w:hint="eastAsia"/>
                <w:color w:val="auto"/>
                <w:sz w:val="24"/>
              </w:rPr>
            </w:pPr>
            <w:r>
              <w:rPr>
                <w:rFonts w:asciiTheme="minorEastAsia" w:eastAsiaTheme="minorEastAsia" w:hAnsiTheme="minorEastAsia" w:cs="宋体" w:hint="eastAsia"/>
                <w:color w:val="auto"/>
                <w:sz w:val="24"/>
              </w:rPr>
              <w:t>2.具有博士学位，得5分；否则不得分。</w:t>
            </w:r>
          </w:p>
          <w:p>
            <w:pPr>
              <w:spacing w:line="360" w:lineRule="exact"/>
              <w:jc w:val="left"/>
              <w:rPr>
                <w:rFonts w:asciiTheme="minorEastAsia" w:eastAsiaTheme="minorEastAsia" w:hAnsiTheme="minorEastAsia" w:cs="宋体" w:hint="eastAsia"/>
                <w:color w:val="auto"/>
                <w:sz w:val="24"/>
              </w:rPr>
            </w:pPr>
            <w:r>
              <w:rPr>
                <w:rFonts w:asciiTheme="minorEastAsia" w:eastAsiaTheme="minorEastAsia" w:hAnsiTheme="minorEastAsia" w:cs="宋体" w:hint="eastAsia"/>
                <w:color w:val="auto"/>
                <w:sz w:val="24"/>
              </w:rPr>
              <w:t>3.具备5年或以上、30家或以上由市级或以上国家机关委托的基准年碳排放核查经验，得20分；否则不得分。</w:t>
            </w:r>
          </w:p>
          <w:p>
            <w:pPr>
              <w:spacing w:line="360" w:lineRule="exact"/>
              <w:jc w:val="left"/>
              <w:rPr>
                <w:rFonts w:asciiTheme="minorEastAsia" w:eastAsiaTheme="minorEastAsia" w:hAnsiTheme="minorEastAsia" w:cs="宋体" w:hint="eastAsia"/>
                <w:color w:val="auto"/>
                <w:sz w:val="24"/>
              </w:rPr>
            </w:pPr>
            <w:r>
              <w:rPr>
                <w:rFonts w:asciiTheme="minorEastAsia" w:eastAsiaTheme="minorEastAsia" w:hAnsiTheme="minorEastAsia" w:cs="宋体" w:hint="eastAsia"/>
                <w:color w:val="auto"/>
                <w:sz w:val="24"/>
              </w:rPr>
              <w:t>4.作为项目负责人承担过市级或以上国家机关委托的碳排放量化报告核查（MRV）方法学研究/特殊行业扩容研究/碳市场配额分配相关项目的，每承担1个项目得5分，最高得25分。</w:t>
            </w:r>
          </w:p>
          <w:p>
            <w:pPr>
              <w:spacing w:line="360" w:lineRule="exact"/>
              <w:jc w:val="left"/>
              <w:rPr>
                <w:rFonts w:asciiTheme="minorEastAsia" w:eastAsiaTheme="minorEastAsia" w:hAnsiTheme="minorEastAsia" w:cs="宋体" w:hint="eastAsia"/>
                <w:color w:val="auto"/>
                <w:sz w:val="24"/>
              </w:rPr>
            </w:pPr>
            <w:r>
              <w:rPr>
                <w:rFonts w:asciiTheme="minorEastAsia" w:eastAsiaTheme="minorEastAsia" w:hAnsiTheme="minorEastAsia" w:cs="宋体" w:hint="eastAsia"/>
                <w:color w:val="auto"/>
                <w:sz w:val="24"/>
              </w:rPr>
              <w:t>5.作为主要起草人（即排序前二）牵头温室气体排放相关地方标准或标准化指导性技术文件制修订的，每提供1个文件得5分，最高得25分。</w:t>
            </w:r>
          </w:p>
          <w:p>
            <w:pPr>
              <w:spacing w:line="360" w:lineRule="exact"/>
              <w:jc w:val="left"/>
              <w:rPr>
                <w:rFonts w:asciiTheme="minorEastAsia" w:eastAsiaTheme="minorEastAsia" w:hAnsiTheme="minorEastAsia" w:cs="宋体" w:hint="eastAsia"/>
                <w:color w:val="auto"/>
                <w:sz w:val="24"/>
              </w:rPr>
            </w:pPr>
            <w:r>
              <w:rPr>
                <w:rFonts w:asciiTheme="minorEastAsia" w:eastAsiaTheme="minorEastAsia" w:hAnsiTheme="minorEastAsia" w:cs="宋体" w:hint="eastAsia"/>
                <w:color w:val="auto"/>
                <w:sz w:val="24"/>
              </w:rPr>
              <w:t>6.作为项目负责人承担过市级或以上国家机关委托的、为碳交易管控单位/碳排放核查机构提供的碳排放技术规范培训项目，每提供1个得5分，最高得10分。</w:t>
            </w:r>
          </w:p>
          <w:p>
            <w:pPr>
              <w:spacing w:line="360" w:lineRule="exact"/>
              <w:jc w:val="left"/>
              <w:rPr>
                <w:rFonts w:asciiTheme="minorEastAsia" w:eastAsiaTheme="minorEastAsia" w:hAnsiTheme="minorEastAsia" w:cs="宋体" w:hint="eastAsia"/>
                <w:color w:val="auto"/>
                <w:sz w:val="24"/>
              </w:rPr>
            </w:pPr>
            <w:r>
              <w:rPr>
                <w:rFonts w:asciiTheme="minorEastAsia" w:eastAsiaTheme="minorEastAsia" w:hAnsiTheme="minorEastAsia" w:cs="宋体" w:hint="eastAsia"/>
                <w:color w:val="auto"/>
                <w:sz w:val="24"/>
              </w:rPr>
              <w:t>7.参编过正式出版的碳排放量化核查相关培训教材的，得5分；否则不得分。</w:t>
            </w:r>
          </w:p>
          <w:p>
            <w:pPr>
              <w:spacing w:line="360" w:lineRule="exact"/>
              <w:jc w:val="left"/>
              <w:rPr>
                <w:rFonts w:asciiTheme="minorEastAsia" w:eastAsiaTheme="minorEastAsia" w:hAnsiTheme="minorEastAsia" w:cs="宋体" w:hint="eastAsia"/>
                <w:color w:val="auto"/>
                <w:sz w:val="24"/>
              </w:rPr>
            </w:pPr>
            <w:r>
              <w:rPr>
                <w:rFonts w:asciiTheme="minorEastAsia" w:eastAsiaTheme="minorEastAsia" w:hAnsiTheme="minorEastAsia" w:cs="宋体" w:hint="eastAsia"/>
                <w:color w:val="auto"/>
                <w:sz w:val="24"/>
              </w:rPr>
              <w:t>以上七项合计100分。</w:t>
            </w:r>
          </w:p>
          <w:p>
            <w:pPr>
              <w:spacing w:line="360" w:lineRule="exact"/>
              <w:jc w:val="left"/>
              <w:rPr>
                <w:rFonts w:asciiTheme="minorEastAsia" w:eastAsiaTheme="minorEastAsia" w:hAnsiTheme="minorEastAsia" w:cs="宋体" w:hint="eastAsia"/>
                <w:color w:val="auto"/>
                <w:sz w:val="24"/>
              </w:rPr>
            </w:pPr>
            <w:r>
              <w:rPr>
                <w:rFonts w:asciiTheme="minorEastAsia" w:eastAsiaTheme="minorEastAsia" w:hAnsiTheme="minorEastAsia" w:cs="宋体" w:hint="eastAsia"/>
                <w:color w:val="auto"/>
                <w:sz w:val="24"/>
              </w:rPr>
              <w:t>二、评分依据：</w:t>
            </w:r>
          </w:p>
          <w:p>
            <w:pPr>
              <w:spacing w:line="360" w:lineRule="exact"/>
              <w:jc w:val="left"/>
              <w:rPr>
                <w:rFonts w:asciiTheme="minorEastAsia" w:eastAsiaTheme="minorEastAsia" w:hAnsiTheme="minorEastAsia" w:cs="宋体" w:hint="eastAsia"/>
                <w:color w:val="auto"/>
                <w:sz w:val="24"/>
              </w:rPr>
            </w:pPr>
            <w:r>
              <w:rPr>
                <w:rFonts w:asciiTheme="minorEastAsia" w:eastAsiaTheme="minorEastAsia" w:hAnsiTheme="minorEastAsia" w:cs="宋体" w:hint="eastAsia"/>
                <w:color w:val="auto"/>
                <w:sz w:val="24"/>
              </w:rPr>
              <w:t>1.基准年碳核查项目是指：用于获取企业历史排放数据的碳核查项目，被核查的数据年份应为项目服务期开始前连续三年。</w:t>
            </w:r>
          </w:p>
          <w:p>
            <w:pPr>
              <w:spacing w:line="360" w:lineRule="exact"/>
              <w:jc w:val="left"/>
              <w:rPr>
                <w:rFonts w:asciiTheme="minorEastAsia" w:eastAsiaTheme="minorEastAsia" w:hAnsiTheme="minorEastAsia" w:cs="宋体" w:hint="eastAsia"/>
                <w:color w:val="auto"/>
                <w:sz w:val="24"/>
              </w:rPr>
            </w:pPr>
            <w:r>
              <w:rPr>
                <w:rFonts w:asciiTheme="minorEastAsia" w:eastAsiaTheme="minorEastAsia" w:hAnsiTheme="minorEastAsia" w:cs="宋体" w:hint="eastAsia"/>
                <w:color w:val="auto"/>
                <w:sz w:val="24"/>
              </w:rPr>
              <w:t>2.要求提供有效的证书、项目合同关键信息（含签订合同双方的单位名称、合同项目名称与含签订合同双方的落款盖章、项目负责人信息、签订日期的关键页）、合同甲方出具的证明文件等证明文件作为得分依据。其中“5年或以上基准年碳排放核查经验”须由市级或以上国家机关合同及盖章版核查报告来证明。</w:t>
            </w:r>
          </w:p>
          <w:p>
            <w:pPr>
              <w:spacing w:line="360" w:lineRule="exact"/>
              <w:jc w:val="left"/>
              <w:rPr>
                <w:rFonts w:asciiTheme="minorEastAsia" w:eastAsiaTheme="minorEastAsia" w:hAnsiTheme="minorEastAsia" w:cs="宋体" w:hint="eastAsia"/>
                <w:color w:val="auto"/>
                <w:sz w:val="24"/>
              </w:rPr>
            </w:pPr>
            <w:r>
              <w:rPr>
                <w:rFonts w:asciiTheme="minorEastAsia" w:eastAsiaTheme="minorEastAsia" w:hAnsiTheme="minorEastAsia" w:cs="宋体" w:hint="eastAsia"/>
                <w:color w:val="auto"/>
                <w:sz w:val="24"/>
              </w:rPr>
              <w:t>3.提供社保部门或税务部门出具的投标截止前三个月在投标人处购买社保证明作为得分依据。如开标日上一个月的社保材料因社保部门或税务部门原因暂时无法取得，则可以往前顺延一个月。如投标人为新成立企业且成立时间不足三个月可提供加盖公章的情况说明或者证明材料亦视为符合。</w:t>
            </w:r>
          </w:p>
          <w:p>
            <w:pPr>
              <w:spacing w:line="360" w:lineRule="exact"/>
              <w:jc w:val="left"/>
              <w:rPr>
                <w:rFonts w:asciiTheme="minorEastAsia" w:eastAsiaTheme="minorEastAsia" w:hAnsiTheme="minorEastAsia" w:cs="宋体"/>
                <w:color w:val="auto"/>
                <w:sz w:val="24"/>
              </w:rPr>
            </w:pPr>
            <w:r>
              <w:rPr>
                <w:rFonts w:asciiTheme="minorEastAsia" w:eastAsiaTheme="minorEastAsia" w:hAnsiTheme="minorEastAsia" w:cs="宋体" w:hint="eastAsia"/>
                <w:color w:val="auto"/>
                <w:sz w:val="24"/>
              </w:rPr>
              <w:t>4.以上资料均要求提供扫描件，未提供或无法判断的不得分。</w:t>
            </w:r>
          </w:p>
        </w:tc>
        <w:tc>
          <w:tcPr>
            <w:tcW w:w="685" w:type="dxa"/>
            <w:tcBorders>
              <w:right w:val="single" w:sz="4" w:space="0" w:color="auto"/>
            </w:tcBorders>
            <w:vAlign w:val="center"/>
          </w:tcPr>
          <w:p>
            <w:pPr>
              <w:ind w:left="-78" w:right="-74" w:leftChars="-37" w:rightChars="-35"/>
              <w:jc w:val="center"/>
              <w:rPr>
                <w:rFonts w:asciiTheme="minorEastAsia" w:eastAsiaTheme="minorEastAsia" w:hAnsiTheme="minorEastAsia" w:cs="宋体" w:hint="eastAsia"/>
                <w:color w:val="auto"/>
                <w:sz w:val="24"/>
                <w:lang w:val="en-US" w:eastAsia="zh-CN"/>
              </w:rPr>
            </w:pPr>
            <w:r>
              <w:rPr>
                <w:rFonts w:asciiTheme="minorEastAsia" w:eastAsiaTheme="minorEastAsia" w:hAnsiTheme="minorEastAsia" w:cs="宋体" w:hint="eastAsia"/>
                <w:color w:val="auto"/>
                <w:sz w:val="24"/>
                <w:lang w:val="en-US" w:eastAsia="zh-CN"/>
              </w:rPr>
              <w:t>6</w:t>
            </w:r>
          </w:p>
        </w:tc>
        <w:tc>
          <w:tcPr>
            <w:tcW w:w="792" w:type="dxa"/>
            <w:tcBorders>
              <w:left w:val="single" w:sz="4" w:space="0" w:color="auto"/>
            </w:tcBorders>
            <w:vAlign w:val="center"/>
          </w:tcPr>
          <w:p>
            <w:pPr>
              <w:ind w:left="-78" w:right="-74" w:leftChars="-37" w:rightChars="-35"/>
              <w:jc w:val="center"/>
              <w:rPr>
                <w:rFonts w:asciiTheme="minorEastAsia" w:eastAsiaTheme="minorEastAsia" w:hAnsiTheme="minorEastAsia" w:cs="宋体" w:hint="eastAsia"/>
                <w:color w:val="auto"/>
                <w:sz w:val="24"/>
                <w:lang w:val="en-US" w:eastAsia="zh-CN"/>
              </w:rPr>
            </w:pPr>
            <w:r>
              <w:rPr>
                <w:rFonts w:asciiTheme="minorEastAsia" w:eastAsiaTheme="minorEastAsia" w:hAnsiTheme="minorEastAsia" w:cs="宋体" w:hint="eastAsia"/>
                <w:color w:val="auto"/>
                <w:sz w:val="24"/>
                <w:lang w:val="en-US" w:eastAsia="zh-CN"/>
              </w:rPr>
              <w:t>6</w:t>
            </w:r>
          </w:p>
        </w:tc>
      </w:tr>
      <w:tr>
        <w:tblPrEx>
          <w:tblW w:w="9242" w:type="dxa"/>
          <w:tblInd w:w="93" w:type="dxa"/>
          <w:tblLayout w:type="fixed"/>
          <w:tblCellMar>
            <w:top w:w="0" w:type="dxa"/>
            <w:left w:w="108" w:type="dxa"/>
            <w:bottom w:w="0" w:type="dxa"/>
            <w:right w:w="108" w:type="dxa"/>
          </w:tblCellMar>
        </w:tblPrEx>
        <w:trPr>
          <w:trHeight w:val="883"/>
        </w:trPr>
        <w:tc>
          <w:tcPr>
            <w:tcW w:w="680" w:type="dxa"/>
            <w:tcBorders>
              <w:top w:val="single" w:sz="4" w:space="0" w:color="auto"/>
            </w:tcBorders>
            <w:vAlign w:val="center"/>
          </w:tcPr>
          <w:p>
            <w:pPr>
              <w:pStyle w:val="1"/>
              <w:numPr>
                <w:ilvl w:val="0"/>
                <w:numId w:val="17"/>
              </w:numPr>
              <w:ind w:firstLineChars="0"/>
              <w:jc w:val="right"/>
              <w:rPr>
                <w:rFonts w:asciiTheme="minorEastAsia" w:eastAsiaTheme="minorEastAsia" w:hAnsiTheme="minorEastAsia"/>
                <w:color w:val="auto"/>
                <w:sz w:val="24"/>
                <w:highlight w:val="none"/>
              </w:rPr>
            </w:pPr>
          </w:p>
        </w:tc>
        <w:tc>
          <w:tcPr>
            <w:tcW w:w="1355" w:type="dxa"/>
            <w:vAlign w:val="center"/>
          </w:tcPr>
          <w:p>
            <w:pPr>
              <w:jc w:val="center"/>
              <w:rPr>
                <w:rFonts w:asciiTheme="minorEastAsia" w:eastAsiaTheme="minorEastAsia" w:hAnsiTheme="minorEastAsia"/>
                <w:bCs/>
                <w:color w:val="auto"/>
                <w:sz w:val="24"/>
                <w:highlight w:val="none"/>
              </w:rPr>
            </w:pPr>
            <w:r>
              <w:rPr>
                <w:rFonts w:asciiTheme="minorEastAsia" w:eastAsiaTheme="minorEastAsia" w:hAnsiTheme="minorEastAsia" w:hint="eastAsia"/>
                <w:bCs/>
                <w:color w:val="auto"/>
                <w:sz w:val="24"/>
                <w:highlight w:val="none"/>
              </w:rPr>
              <w:t>拟安排的项目主要团队成员（主要技术人员）情况（项目负责人除外）</w:t>
            </w:r>
          </w:p>
        </w:tc>
        <w:tc>
          <w:tcPr>
            <w:tcW w:w="5730" w:type="dxa"/>
            <w:vAlign w:val="center"/>
          </w:tcPr>
          <w:p>
            <w:pPr>
              <w:spacing w:line="360" w:lineRule="exact"/>
              <w:jc w:val="left"/>
              <w:rPr>
                <w:rFonts w:asciiTheme="minorEastAsia" w:eastAsiaTheme="minorEastAsia" w:hAnsiTheme="minorEastAsia" w:hint="eastAsia"/>
                <w:color w:val="auto"/>
                <w:sz w:val="24"/>
                <w:highlight w:val="none"/>
              </w:rPr>
            </w:pPr>
            <w:r>
              <w:rPr>
                <w:rFonts w:asciiTheme="minorEastAsia" w:eastAsiaTheme="minorEastAsia" w:hAnsiTheme="minorEastAsia" w:hint="eastAsia"/>
                <w:color w:val="auto"/>
                <w:sz w:val="24"/>
                <w:highlight w:val="none"/>
              </w:rPr>
              <w:t>评分内容：项目主要团队成员须为投标人本单位人员，且具备碳排放核查相关工作经验的不少于20人，否则此项不得分，在此基础上按下述评分。</w:t>
            </w:r>
          </w:p>
          <w:p>
            <w:pPr>
              <w:spacing w:line="360" w:lineRule="exact"/>
              <w:jc w:val="left"/>
              <w:rPr>
                <w:rFonts w:asciiTheme="minorEastAsia" w:eastAsiaTheme="minorEastAsia" w:hAnsiTheme="minorEastAsia" w:hint="eastAsia"/>
                <w:color w:val="auto"/>
                <w:sz w:val="24"/>
                <w:highlight w:val="none"/>
              </w:rPr>
            </w:pPr>
            <w:r>
              <w:rPr>
                <w:rFonts w:asciiTheme="minorEastAsia" w:eastAsiaTheme="minorEastAsia" w:hAnsiTheme="minorEastAsia" w:hint="eastAsia"/>
                <w:color w:val="auto"/>
                <w:sz w:val="24"/>
                <w:highlight w:val="none"/>
              </w:rPr>
              <w:t>1.具有标准化或环境类专业中级或以上职称的，每提供1人得2分，最高得15分。</w:t>
            </w:r>
          </w:p>
          <w:p>
            <w:pPr>
              <w:spacing w:line="360" w:lineRule="exact"/>
              <w:jc w:val="left"/>
              <w:rPr>
                <w:rFonts w:asciiTheme="minorEastAsia" w:eastAsiaTheme="minorEastAsia" w:hAnsiTheme="minorEastAsia" w:hint="eastAsia"/>
                <w:color w:val="auto"/>
                <w:sz w:val="24"/>
                <w:highlight w:val="none"/>
              </w:rPr>
            </w:pPr>
            <w:r>
              <w:rPr>
                <w:rFonts w:asciiTheme="minorEastAsia" w:eastAsiaTheme="minorEastAsia" w:hAnsiTheme="minorEastAsia" w:hint="eastAsia"/>
                <w:color w:val="auto"/>
                <w:sz w:val="24"/>
                <w:highlight w:val="none"/>
              </w:rPr>
              <w:t>2.具有环境类专业硕士或以上学位的，每提供1人得2分，最高得15分。</w:t>
            </w:r>
          </w:p>
          <w:p>
            <w:pPr>
              <w:spacing w:line="360" w:lineRule="exact"/>
              <w:jc w:val="left"/>
              <w:rPr>
                <w:rFonts w:asciiTheme="minorEastAsia" w:eastAsiaTheme="minorEastAsia" w:hAnsiTheme="minorEastAsia" w:hint="eastAsia"/>
                <w:color w:val="auto"/>
                <w:sz w:val="24"/>
                <w:highlight w:val="none"/>
              </w:rPr>
            </w:pPr>
            <w:r>
              <w:rPr>
                <w:rFonts w:asciiTheme="minorEastAsia" w:eastAsiaTheme="minorEastAsia" w:hAnsiTheme="minorEastAsia" w:hint="eastAsia"/>
                <w:color w:val="auto"/>
                <w:sz w:val="24"/>
                <w:highlight w:val="none"/>
              </w:rPr>
              <w:t>33.具备3年或以上由市级或以上国家机关委托的基准年碳排放核查经验的，提供6-11人得10分，12-14人得20分，15人及以上得30分，否则不得分。</w:t>
            </w:r>
          </w:p>
          <w:p>
            <w:pPr>
              <w:spacing w:line="360" w:lineRule="exact"/>
              <w:jc w:val="left"/>
              <w:rPr>
                <w:rFonts w:asciiTheme="minorEastAsia" w:eastAsiaTheme="minorEastAsia" w:hAnsiTheme="minorEastAsia" w:hint="eastAsia"/>
                <w:color w:val="auto"/>
                <w:sz w:val="24"/>
                <w:highlight w:val="none"/>
              </w:rPr>
            </w:pPr>
            <w:r>
              <w:rPr>
                <w:rFonts w:asciiTheme="minorEastAsia" w:eastAsiaTheme="minorEastAsia" w:hAnsiTheme="minorEastAsia" w:hint="eastAsia"/>
                <w:color w:val="auto"/>
                <w:sz w:val="24"/>
                <w:highlight w:val="none"/>
              </w:rPr>
              <w:t>4.参与过市级或以上国家机关委托的碳排放量化报告核查（MRV）方法学研究/特殊行业扩容研究/碳市场配额分配相关项目的，提供6-9人得10分，10人及以上得20分，否则不得分。</w:t>
            </w:r>
          </w:p>
          <w:p>
            <w:pPr>
              <w:spacing w:line="360" w:lineRule="exact"/>
              <w:jc w:val="left"/>
              <w:rPr>
                <w:rFonts w:asciiTheme="minorEastAsia" w:eastAsiaTheme="minorEastAsia" w:hAnsiTheme="minorEastAsia" w:hint="eastAsia"/>
                <w:color w:val="auto"/>
                <w:sz w:val="24"/>
                <w:highlight w:val="none"/>
              </w:rPr>
            </w:pPr>
            <w:r>
              <w:rPr>
                <w:rFonts w:asciiTheme="minorEastAsia" w:eastAsiaTheme="minorEastAsia" w:hAnsiTheme="minorEastAsia" w:hint="eastAsia"/>
                <w:color w:val="auto"/>
                <w:sz w:val="24"/>
                <w:highlight w:val="none"/>
              </w:rPr>
              <w:t>5.参与过温室气体排放相关地方标准或标准化指导性技术文件制修订的，提供3-5人得10分，6人及以上得20分，否则不得分。</w:t>
            </w:r>
          </w:p>
          <w:p>
            <w:pPr>
              <w:spacing w:line="360" w:lineRule="exact"/>
              <w:jc w:val="left"/>
              <w:rPr>
                <w:rFonts w:asciiTheme="minorEastAsia" w:eastAsiaTheme="minorEastAsia" w:hAnsiTheme="minorEastAsia" w:hint="eastAsia"/>
                <w:color w:val="auto"/>
                <w:sz w:val="24"/>
                <w:highlight w:val="none"/>
              </w:rPr>
            </w:pPr>
            <w:r>
              <w:rPr>
                <w:rFonts w:asciiTheme="minorEastAsia" w:eastAsiaTheme="minorEastAsia" w:hAnsiTheme="minorEastAsia" w:hint="eastAsia"/>
                <w:color w:val="auto"/>
                <w:sz w:val="24"/>
                <w:highlight w:val="none"/>
              </w:rPr>
              <w:t>以上五项合计100分。</w:t>
            </w:r>
          </w:p>
          <w:p>
            <w:pPr>
              <w:spacing w:line="360" w:lineRule="exact"/>
              <w:jc w:val="left"/>
              <w:rPr>
                <w:rFonts w:asciiTheme="minorEastAsia" w:eastAsiaTheme="minorEastAsia" w:hAnsiTheme="minorEastAsia" w:hint="eastAsia"/>
                <w:color w:val="auto"/>
                <w:sz w:val="24"/>
                <w:highlight w:val="none"/>
              </w:rPr>
            </w:pPr>
            <w:r>
              <w:rPr>
                <w:rFonts w:asciiTheme="minorEastAsia" w:eastAsiaTheme="minorEastAsia" w:hAnsiTheme="minorEastAsia" w:hint="eastAsia"/>
                <w:color w:val="auto"/>
                <w:sz w:val="24"/>
                <w:highlight w:val="none"/>
              </w:rPr>
              <w:t>二、评分依据：</w:t>
            </w:r>
          </w:p>
          <w:p>
            <w:pPr>
              <w:spacing w:line="360" w:lineRule="exact"/>
              <w:jc w:val="left"/>
              <w:rPr>
                <w:rFonts w:asciiTheme="minorEastAsia" w:eastAsiaTheme="minorEastAsia" w:hAnsiTheme="minorEastAsia" w:hint="eastAsia"/>
                <w:color w:val="auto"/>
                <w:sz w:val="24"/>
                <w:highlight w:val="none"/>
              </w:rPr>
            </w:pPr>
            <w:r>
              <w:rPr>
                <w:rFonts w:asciiTheme="minorEastAsia" w:eastAsiaTheme="minorEastAsia" w:hAnsiTheme="minorEastAsia" w:hint="eastAsia"/>
                <w:color w:val="auto"/>
                <w:sz w:val="24"/>
                <w:highlight w:val="none"/>
              </w:rPr>
              <w:t>1.基准年碳核查项目是指：用于获取企业历史排放数据的碳核查项目，被核查的数据年份应为项目服务期开始前连续三年。</w:t>
            </w:r>
          </w:p>
          <w:p>
            <w:pPr>
              <w:spacing w:line="360" w:lineRule="exact"/>
              <w:jc w:val="left"/>
              <w:rPr>
                <w:rFonts w:asciiTheme="minorEastAsia" w:eastAsiaTheme="minorEastAsia" w:hAnsiTheme="minorEastAsia" w:hint="eastAsia"/>
                <w:color w:val="auto"/>
                <w:sz w:val="24"/>
                <w:highlight w:val="none"/>
              </w:rPr>
            </w:pPr>
            <w:r>
              <w:rPr>
                <w:rFonts w:asciiTheme="minorEastAsia" w:eastAsiaTheme="minorEastAsia" w:hAnsiTheme="minorEastAsia" w:hint="eastAsia"/>
                <w:color w:val="auto"/>
                <w:sz w:val="24"/>
                <w:highlight w:val="none"/>
              </w:rPr>
              <w:t>2.要求提供有效的证书、项目合同关键信息（含签订合同双方的单位名称、合同项目名称与含签订合同双方的落款盖章、团队成员信息、签订日期的关键页）、合同甲方出具的证明文件等证明文件作为得分依据。其中“3年或以上基准年碳排放核查经验”须由市级或以上国家机关合同及盖章版核查报告来证明。</w:t>
            </w:r>
          </w:p>
          <w:p>
            <w:pPr>
              <w:spacing w:line="360" w:lineRule="exact"/>
              <w:jc w:val="left"/>
              <w:rPr>
                <w:rFonts w:asciiTheme="minorEastAsia" w:eastAsiaTheme="minorEastAsia" w:hAnsiTheme="minorEastAsia" w:hint="eastAsia"/>
                <w:color w:val="auto"/>
                <w:sz w:val="24"/>
                <w:highlight w:val="none"/>
              </w:rPr>
            </w:pPr>
            <w:r>
              <w:rPr>
                <w:rFonts w:asciiTheme="minorEastAsia" w:eastAsiaTheme="minorEastAsia" w:hAnsiTheme="minorEastAsia" w:hint="eastAsia"/>
                <w:color w:val="auto"/>
                <w:sz w:val="24"/>
                <w:highlight w:val="none"/>
              </w:rPr>
              <w:t>3.提供社保部门或税务部门出具的投标截止前三个月在投标人处购买社保证明作为得分依据。如开标日上一个月的社保材料因社保部门或税务部门原因暂时无法取得，则可以往前顺延一个月。如投标人为新成立企业且成立时间不足三个月可提供加盖公章的情况说明或者证明材料亦视为符合。</w:t>
            </w:r>
          </w:p>
          <w:p>
            <w:pPr>
              <w:spacing w:line="360" w:lineRule="exact"/>
              <w:jc w:val="left"/>
              <w:rPr>
                <w:rFonts w:asciiTheme="minorEastAsia" w:eastAsiaTheme="minorEastAsia" w:hAnsiTheme="minorEastAsia" w:hint="eastAsia"/>
                <w:color w:val="auto"/>
                <w:sz w:val="24"/>
                <w:highlight w:val="none"/>
              </w:rPr>
            </w:pPr>
            <w:r>
              <w:rPr>
                <w:rFonts w:asciiTheme="minorEastAsia" w:eastAsiaTheme="minorEastAsia" w:hAnsiTheme="minorEastAsia" w:hint="eastAsia"/>
                <w:color w:val="auto"/>
                <w:sz w:val="24"/>
                <w:highlight w:val="none"/>
              </w:rPr>
              <w:t>4.同一人同时满足多项评分内容的，可同时得分。</w:t>
            </w:r>
          </w:p>
          <w:p>
            <w:pPr>
              <w:spacing w:line="360" w:lineRule="exact"/>
              <w:jc w:val="left"/>
              <w:rPr>
                <w:rFonts w:asciiTheme="minorEastAsia" w:eastAsiaTheme="minorEastAsia" w:hAnsiTheme="minorEastAsia"/>
                <w:color w:val="auto"/>
                <w:sz w:val="24"/>
                <w:highlight w:val="none"/>
              </w:rPr>
            </w:pPr>
            <w:r>
              <w:rPr>
                <w:rFonts w:asciiTheme="minorEastAsia" w:eastAsiaTheme="minorEastAsia" w:hAnsiTheme="minorEastAsia" w:hint="eastAsia"/>
                <w:color w:val="auto"/>
                <w:sz w:val="24"/>
                <w:highlight w:val="none"/>
              </w:rPr>
              <w:t>5.以上资料均要求提供扫描件，未提供或无法判断的不得分。</w:t>
            </w:r>
          </w:p>
        </w:tc>
        <w:tc>
          <w:tcPr>
            <w:tcW w:w="685" w:type="dxa"/>
            <w:tcBorders>
              <w:right w:val="single" w:sz="4" w:space="0" w:color="auto"/>
            </w:tcBorders>
            <w:vAlign w:val="center"/>
          </w:tcPr>
          <w:p>
            <w:pPr>
              <w:ind w:left="-78" w:right="-74" w:leftChars="-37" w:rightChars="-35"/>
              <w:jc w:val="center"/>
              <w:rPr>
                <w:rFonts w:asciiTheme="minorEastAsia" w:eastAsiaTheme="minorEastAsia" w:hAnsiTheme="minorEastAsia" w:hint="default"/>
                <w:color w:val="auto"/>
                <w:sz w:val="24"/>
                <w:highlight w:val="none"/>
                <w:lang w:val="en-US" w:eastAsia="zh-CN"/>
              </w:rPr>
            </w:pPr>
            <w:r>
              <w:rPr>
                <w:rFonts w:asciiTheme="minorEastAsia" w:eastAsiaTheme="minorEastAsia" w:hAnsiTheme="minorEastAsia" w:hint="eastAsia"/>
                <w:color w:val="auto"/>
                <w:sz w:val="24"/>
                <w:highlight w:val="none"/>
                <w:lang w:val="en-US" w:eastAsia="zh-CN"/>
              </w:rPr>
              <w:t>12</w:t>
            </w:r>
          </w:p>
        </w:tc>
        <w:tc>
          <w:tcPr>
            <w:tcW w:w="792" w:type="dxa"/>
            <w:tcBorders>
              <w:left w:val="single" w:sz="4" w:space="0" w:color="auto"/>
            </w:tcBorders>
            <w:vAlign w:val="center"/>
          </w:tcPr>
          <w:p>
            <w:pPr>
              <w:ind w:left="-78" w:right="-74" w:leftChars="-37" w:rightChars="-35"/>
              <w:jc w:val="center"/>
              <w:rPr>
                <w:rFonts w:asciiTheme="minorEastAsia" w:eastAsiaTheme="minorEastAsia" w:hAnsiTheme="minorEastAsia" w:cs="宋体" w:hint="default"/>
                <w:color w:val="auto"/>
                <w:sz w:val="24"/>
                <w:highlight w:val="none"/>
                <w:lang w:val="en-US" w:eastAsia="zh-CN"/>
              </w:rPr>
            </w:pPr>
            <w:r>
              <w:rPr>
                <w:rFonts w:asciiTheme="minorEastAsia" w:eastAsiaTheme="minorEastAsia" w:hAnsiTheme="minorEastAsia" w:cs="宋体" w:hint="eastAsia"/>
                <w:color w:val="auto"/>
                <w:sz w:val="24"/>
                <w:highlight w:val="none"/>
                <w:lang w:val="en-US" w:eastAsia="zh-CN"/>
              </w:rPr>
              <w:t>12</w:t>
            </w:r>
          </w:p>
        </w:tc>
      </w:tr>
      <w:tr>
        <w:tblPrEx>
          <w:tblW w:w="9242" w:type="dxa"/>
          <w:tblInd w:w="93" w:type="dxa"/>
          <w:tblLayout w:type="fixed"/>
          <w:tblCellMar>
            <w:top w:w="0" w:type="dxa"/>
            <w:left w:w="108" w:type="dxa"/>
            <w:bottom w:w="0" w:type="dxa"/>
            <w:right w:w="108" w:type="dxa"/>
          </w:tblCellMar>
        </w:tblPrEx>
        <w:trPr>
          <w:trHeight w:val="883"/>
        </w:trPr>
        <w:tc>
          <w:tcPr>
            <w:tcW w:w="680" w:type="dxa"/>
            <w:tcBorders>
              <w:top w:val="single" w:sz="4" w:space="0" w:color="auto"/>
            </w:tcBorders>
            <w:vAlign w:val="center"/>
          </w:tcPr>
          <w:p>
            <w:pPr>
              <w:pStyle w:val="1"/>
              <w:numPr>
                <w:ilvl w:val="0"/>
                <w:numId w:val="17"/>
              </w:numPr>
              <w:ind w:firstLineChars="0"/>
              <w:jc w:val="right"/>
              <w:rPr>
                <w:rFonts w:asciiTheme="minorEastAsia" w:eastAsiaTheme="minorEastAsia" w:hAnsiTheme="minorEastAsia"/>
                <w:color w:val="auto"/>
                <w:sz w:val="24"/>
              </w:rPr>
            </w:pPr>
          </w:p>
        </w:tc>
        <w:tc>
          <w:tcPr>
            <w:tcW w:w="1355" w:type="dxa"/>
            <w:vAlign w:val="center"/>
          </w:tcPr>
          <w:p>
            <w:pPr>
              <w:snapToGrid w:val="0"/>
              <w:spacing w:line="288" w:lineRule="auto"/>
              <w:ind w:firstLine="105" w:firstLineChars="50"/>
              <w:jc w:val="center"/>
              <w:rPr>
                <w:rFonts w:asciiTheme="minorEastAsia" w:hAnsiTheme="minorEastAsia"/>
                <w:b w:val="0"/>
                <w:bCs w:val="0"/>
                <w:color w:val="auto"/>
                <w:sz w:val="24"/>
                <w:highlight w:val="none"/>
              </w:rPr>
            </w:pPr>
            <w:r>
              <w:rPr>
                <w:rFonts w:asciiTheme="minorEastAsia" w:hAnsiTheme="minorEastAsia" w:hint="eastAsia"/>
                <w:b w:val="0"/>
                <w:bCs w:val="0"/>
                <w:color w:val="auto"/>
                <w:sz w:val="24"/>
                <w:highlight w:val="none"/>
              </w:rPr>
              <w:t>投标人自主知识产权产品（创新、设计）情况</w:t>
            </w:r>
          </w:p>
        </w:tc>
        <w:tc>
          <w:tcPr>
            <w:tcW w:w="5730" w:type="dxa"/>
            <w:vAlign w:val="center"/>
          </w:tcPr>
          <w:p>
            <w:pPr>
              <w:ind w:left="-78" w:right="-74" w:leftChars="-37" w:rightChars="-35"/>
              <w:jc w:val="left"/>
              <w:rPr>
                <w:rFonts w:asciiTheme="minorEastAsia" w:hAnsiTheme="minorEastAsia" w:hint="eastAsia"/>
                <w:b w:val="0"/>
                <w:bCs w:val="0"/>
                <w:color w:val="auto"/>
                <w:sz w:val="24"/>
                <w:highlight w:val="none"/>
              </w:rPr>
            </w:pPr>
            <w:r>
              <w:rPr>
                <w:rFonts w:asciiTheme="minorEastAsia" w:hAnsiTheme="minorEastAsia" w:hint="eastAsia"/>
                <w:b w:val="0"/>
                <w:bCs w:val="0"/>
                <w:color w:val="auto"/>
                <w:sz w:val="24"/>
                <w:highlight w:val="none"/>
              </w:rPr>
              <w:t>一、评分内容：</w:t>
            </w:r>
          </w:p>
          <w:p>
            <w:pPr>
              <w:ind w:left="-78" w:right="-74" w:leftChars="-37" w:rightChars="-35"/>
              <w:jc w:val="left"/>
              <w:rPr>
                <w:rFonts w:asciiTheme="minorEastAsia" w:hAnsiTheme="minorEastAsia" w:hint="eastAsia"/>
                <w:b w:val="0"/>
                <w:bCs w:val="0"/>
                <w:color w:val="auto"/>
                <w:sz w:val="24"/>
                <w:highlight w:val="none"/>
              </w:rPr>
            </w:pPr>
            <w:r>
              <w:rPr>
                <w:rFonts w:asciiTheme="minorEastAsia" w:hAnsiTheme="minorEastAsia" w:hint="eastAsia"/>
                <w:b w:val="0"/>
                <w:bCs w:val="0"/>
                <w:color w:val="auto"/>
                <w:sz w:val="24"/>
                <w:highlight w:val="none"/>
              </w:rPr>
              <w:t>1.获得过绿色/节能/环保相关计算机软件著作权登记证书的，得10分；否则不得分。</w:t>
            </w:r>
          </w:p>
          <w:p>
            <w:pPr>
              <w:ind w:left="-78" w:right="-74" w:leftChars="-37" w:rightChars="-35"/>
              <w:jc w:val="left"/>
              <w:rPr>
                <w:rFonts w:asciiTheme="minorEastAsia" w:hAnsiTheme="minorEastAsia" w:hint="eastAsia"/>
                <w:b w:val="0"/>
                <w:bCs w:val="0"/>
                <w:color w:val="auto"/>
                <w:sz w:val="24"/>
                <w:highlight w:val="none"/>
              </w:rPr>
            </w:pPr>
            <w:r>
              <w:rPr>
                <w:rFonts w:asciiTheme="minorEastAsia" w:hAnsiTheme="minorEastAsia" w:hint="eastAsia"/>
                <w:b w:val="0"/>
                <w:bCs w:val="0"/>
                <w:color w:val="auto"/>
                <w:sz w:val="24"/>
                <w:highlight w:val="none"/>
              </w:rPr>
              <w:t>2.作为牵头单位（即排序前二）编制温室气体排放量化报告核查（MRV）方法学或规范性文件，且经市级或以上国家机关发布或作为地方标准正式发布的，每提供1个得18分，最高得70分。</w:t>
            </w:r>
          </w:p>
          <w:p>
            <w:pPr>
              <w:ind w:left="-78" w:right="-74" w:leftChars="-37" w:rightChars="-35"/>
              <w:jc w:val="left"/>
              <w:rPr>
                <w:rFonts w:asciiTheme="minorEastAsia" w:hAnsiTheme="minorEastAsia" w:hint="eastAsia"/>
                <w:b w:val="0"/>
                <w:bCs w:val="0"/>
                <w:color w:val="auto"/>
                <w:sz w:val="24"/>
                <w:highlight w:val="none"/>
              </w:rPr>
            </w:pPr>
            <w:r>
              <w:rPr>
                <w:rFonts w:asciiTheme="minorEastAsia" w:hAnsiTheme="minorEastAsia" w:hint="eastAsia"/>
                <w:b w:val="0"/>
                <w:bCs w:val="0"/>
                <w:color w:val="auto"/>
                <w:sz w:val="24"/>
                <w:highlight w:val="none"/>
              </w:rPr>
              <w:t>3.获得组织机构代码相关信息化系统的计算机软件著作权登记证书的，每提供1项得10分，最高得20分；已购买组织机构代码相关信息化系统使用权的，得10分；否则不得分。</w:t>
            </w:r>
          </w:p>
          <w:p>
            <w:pPr>
              <w:ind w:left="-78" w:right="-74" w:leftChars="-37" w:rightChars="-35"/>
              <w:jc w:val="left"/>
              <w:rPr>
                <w:rFonts w:asciiTheme="minorEastAsia" w:hAnsiTheme="minorEastAsia" w:hint="eastAsia"/>
                <w:b w:val="0"/>
                <w:bCs w:val="0"/>
                <w:color w:val="auto"/>
                <w:sz w:val="24"/>
                <w:highlight w:val="none"/>
              </w:rPr>
            </w:pPr>
            <w:r>
              <w:rPr>
                <w:rFonts w:asciiTheme="minorEastAsia" w:hAnsiTheme="minorEastAsia" w:hint="eastAsia"/>
                <w:b w:val="0"/>
                <w:bCs w:val="0"/>
                <w:color w:val="auto"/>
                <w:sz w:val="24"/>
                <w:highlight w:val="none"/>
              </w:rPr>
              <w:t>以上三项合计100分。</w:t>
            </w:r>
          </w:p>
          <w:p>
            <w:pPr>
              <w:ind w:left="-78" w:right="-74" w:leftChars="-37" w:rightChars="-35"/>
              <w:jc w:val="left"/>
              <w:rPr>
                <w:rFonts w:asciiTheme="minorEastAsia" w:hAnsiTheme="minorEastAsia" w:hint="eastAsia"/>
                <w:b w:val="0"/>
                <w:bCs w:val="0"/>
                <w:color w:val="auto"/>
                <w:sz w:val="24"/>
                <w:highlight w:val="none"/>
              </w:rPr>
            </w:pPr>
            <w:r>
              <w:rPr>
                <w:rFonts w:asciiTheme="minorEastAsia" w:hAnsiTheme="minorEastAsia" w:hint="eastAsia"/>
                <w:b w:val="0"/>
                <w:bCs w:val="0"/>
                <w:color w:val="auto"/>
                <w:sz w:val="24"/>
                <w:highlight w:val="none"/>
              </w:rPr>
              <w:t>二、评分依据:</w:t>
            </w:r>
          </w:p>
          <w:p>
            <w:pPr>
              <w:ind w:left="-78" w:right="-74" w:leftChars="-37" w:rightChars="-35"/>
              <w:jc w:val="left"/>
              <w:rPr>
                <w:rFonts w:asciiTheme="minorEastAsia" w:hAnsiTheme="minorEastAsia" w:hint="eastAsia"/>
                <w:b w:val="0"/>
                <w:bCs w:val="0"/>
                <w:color w:val="auto"/>
                <w:sz w:val="24"/>
                <w:highlight w:val="none"/>
              </w:rPr>
            </w:pPr>
            <w:r>
              <w:rPr>
                <w:rFonts w:asciiTheme="minorEastAsia" w:hAnsiTheme="minorEastAsia" w:hint="eastAsia"/>
                <w:b w:val="0"/>
                <w:bCs w:val="0"/>
                <w:color w:val="auto"/>
                <w:sz w:val="24"/>
                <w:highlight w:val="none"/>
              </w:rPr>
              <w:t>1.要求提供计算机软件著作权登记证书、经市级或以上国家机关发布或作为地方标准正式发布的相关文件等证明材料作为得分依据。</w:t>
            </w:r>
          </w:p>
          <w:p>
            <w:pPr>
              <w:ind w:left="-78" w:right="-74" w:leftChars="-37" w:rightChars="-35"/>
              <w:jc w:val="left"/>
              <w:rPr>
                <w:rFonts w:asciiTheme="minorEastAsia" w:hAnsiTheme="minorEastAsia"/>
                <w:b w:val="0"/>
                <w:bCs w:val="0"/>
                <w:color w:val="auto"/>
                <w:sz w:val="24"/>
                <w:highlight w:val="none"/>
              </w:rPr>
            </w:pPr>
            <w:r>
              <w:rPr>
                <w:rFonts w:asciiTheme="minorEastAsia" w:hAnsiTheme="minorEastAsia" w:hint="eastAsia"/>
                <w:b w:val="0"/>
                <w:bCs w:val="0"/>
                <w:color w:val="auto"/>
                <w:sz w:val="24"/>
                <w:highlight w:val="none"/>
              </w:rPr>
              <w:t>2.以上资料均要求提供扫描件（或网站截图），未提供或无法判断的不得分。</w:t>
            </w:r>
          </w:p>
        </w:tc>
        <w:tc>
          <w:tcPr>
            <w:tcW w:w="685" w:type="dxa"/>
            <w:tcBorders>
              <w:right w:val="single" w:sz="4" w:space="0" w:color="auto"/>
            </w:tcBorders>
            <w:vAlign w:val="center"/>
          </w:tcPr>
          <w:p>
            <w:pPr>
              <w:ind w:left="-78" w:right="-74" w:leftChars="-37" w:rightChars="-35"/>
              <w:jc w:val="center"/>
              <w:rPr>
                <w:rFonts w:asciiTheme="minorEastAsia" w:eastAsiaTheme="minorEastAsia" w:hAnsiTheme="minorEastAsia" w:hint="default"/>
                <w:color w:val="auto"/>
                <w:sz w:val="24"/>
                <w:lang w:val="en-US" w:eastAsia="zh-CN"/>
              </w:rPr>
            </w:pPr>
            <w:r>
              <w:rPr>
                <w:rFonts w:asciiTheme="minorEastAsia" w:eastAsiaTheme="minorEastAsia" w:hAnsiTheme="minorEastAsia" w:hint="eastAsia"/>
                <w:color w:val="auto"/>
                <w:sz w:val="24"/>
                <w:lang w:val="en-US" w:eastAsia="zh-CN"/>
              </w:rPr>
              <w:t>10</w:t>
            </w:r>
          </w:p>
        </w:tc>
        <w:tc>
          <w:tcPr>
            <w:tcW w:w="792" w:type="dxa"/>
            <w:tcBorders>
              <w:left w:val="single" w:sz="4" w:space="0" w:color="auto"/>
            </w:tcBorders>
            <w:vAlign w:val="center"/>
          </w:tcPr>
          <w:p>
            <w:pPr>
              <w:ind w:left="-78" w:right="-74" w:leftChars="-37" w:rightChars="-35"/>
              <w:jc w:val="center"/>
              <w:rPr>
                <w:rFonts w:asciiTheme="minorEastAsia" w:eastAsiaTheme="minorEastAsia" w:hAnsiTheme="minorEastAsia" w:cs="宋体" w:hint="default"/>
                <w:color w:val="auto"/>
                <w:sz w:val="24"/>
                <w:lang w:val="en-US" w:eastAsia="zh-CN"/>
              </w:rPr>
            </w:pPr>
            <w:r>
              <w:rPr>
                <w:rFonts w:asciiTheme="minorEastAsia" w:eastAsiaTheme="minorEastAsia" w:hAnsiTheme="minorEastAsia" w:cs="宋体" w:hint="eastAsia"/>
                <w:color w:val="auto"/>
                <w:sz w:val="24"/>
                <w:lang w:val="en-US" w:eastAsia="zh-CN"/>
              </w:rPr>
              <w:t>10</w:t>
            </w:r>
          </w:p>
        </w:tc>
      </w:tr>
      <w:tr>
        <w:tblPrEx>
          <w:tblW w:w="9242" w:type="dxa"/>
          <w:tblInd w:w="93" w:type="dxa"/>
          <w:tblLayout w:type="fixed"/>
          <w:tblCellMar>
            <w:top w:w="0" w:type="dxa"/>
            <w:left w:w="108" w:type="dxa"/>
            <w:bottom w:w="0" w:type="dxa"/>
            <w:right w:w="108" w:type="dxa"/>
          </w:tblCellMar>
        </w:tblPrEx>
        <w:trPr>
          <w:trHeight w:val="883"/>
        </w:trPr>
        <w:tc>
          <w:tcPr>
            <w:tcW w:w="680" w:type="dxa"/>
            <w:tcBorders>
              <w:top w:val="single" w:sz="4" w:space="0" w:color="auto"/>
            </w:tcBorders>
            <w:vAlign w:val="center"/>
          </w:tcPr>
          <w:p>
            <w:pPr>
              <w:pStyle w:val="1"/>
              <w:numPr>
                <w:ilvl w:val="0"/>
                <w:numId w:val="17"/>
              </w:numPr>
              <w:ind w:firstLineChars="0"/>
              <w:jc w:val="right"/>
              <w:rPr>
                <w:rFonts w:asciiTheme="minorEastAsia" w:eastAsiaTheme="minorEastAsia" w:hAnsiTheme="minorEastAsia"/>
                <w:b w:val="0"/>
                <w:bCs w:val="0"/>
                <w:color w:val="auto"/>
                <w:sz w:val="24"/>
                <w:highlight w:val="none"/>
              </w:rPr>
            </w:pPr>
          </w:p>
        </w:tc>
        <w:tc>
          <w:tcPr>
            <w:tcW w:w="1355" w:type="dxa"/>
            <w:vAlign w:val="center"/>
          </w:tcPr>
          <w:p>
            <w:pPr>
              <w:jc w:val="center"/>
              <w:rPr>
                <w:rFonts w:asciiTheme="minorEastAsia" w:hAnsiTheme="minorEastAsia"/>
                <w:b w:val="0"/>
                <w:bCs w:val="0"/>
                <w:color w:val="auto"/>
                <w:sz w:val="24"/>
                <w:highlight w:val="none"/>
              </w:rPr>
            </w:pPr>
            <w:r>
              <w:rPr>
                <w:rFonts w:ascii="宋体" w:eastAsia="宋体" w:hAnsi="宋体" w:cs="宋体" w:hint="eastAsia"/>
                <w:b w:val="0"/>
                <w:bCs w:val="0"/>
                <w:color w:val="auto"/>
                <w:sz w:val="24"/>
                <w:szCs w:val="24"/>
                <w:highlight w:val="none"/>
              </w:rPr>
              <w:t>服务质量保障</w:t>
            </w:r>
          </w:p>
        </w:tc>
        <w:tc>
          <w:tcPr>
            <w:tcW w:w="5730" w:type="dxa"/>
            <w:vAlign w:val="center"/>
          </w:tcPr>
          <w:p>
            <w:pPr>
              <w:snapToGrid w:val="0"/>
              <w:spacing w:line="288" w:lineRule="auto"/>
              <w:ind w:left="59" w:leftChars="28"/>
              <w:jc w:val="left"/>
              <w:rPr>
                <w:rFonts w:asciiTheme="minorEastAsia" w:hAnsiTheme="minorEastAsia" w:hint="eastAsia"/>
                <w:b w:val="0"/>
                <w:bCs w:val="0"/>
                <w:color w:val="auto"/>
                <w:sz w:val="24"/>
                <w:highlight w:val="none"/>
              </w:rPr>
            </w:pPr>
            <w:r>
              <w:rPr>
                <w:rFonts w:asciiTheme="minorEastAsia" w:hAnsiTheme="minorEastAsia" w:hint="eastAsia"/>
                <w:b w:val="0"/>
                <w:bCs w:val="0"/>
                <w:color w:val="auto"/>
                <w:sz w:val="24"/>
                <w:highlight w:val="none"/>
              </w:rPr>
              <w:t>一、评分内容：</w:t>
            </w:r>
          </w:p>
          <w:p>
            <w:pPr>
              <w:snapToGrid w:val="0"/>
              <w:spacing w:line="288" w:lineRule="auto"/>
              <w:ind w:left="59" w:leftChars="28"/>
              <w:jc w:val="left"/>
              <w:rPr>
                <w:rFonts w:asciiTheme="minorEastAsia" w:hAnsiTheme="minorEastAsia" w:hint="eastAsia"/>
                <w:b w:val="0"/>
                <w:bCs w:val="0"/>
                <w:color w:val="auto"/>
                <w:sz w:val="24"/>
                <w:highlight w:val="none"/>
              </w:rPr>
            </w:pPr>
            <w:r>
              <w:rPr>
                <w:rFonts w:asciiTheme="minorEastAsia" w:hAnsiTheme="minorEastAsia" w:hint="eastAsia"/>
                <w:b w:val="0"/>
                <w:bCs w:val="0"/>
                <w:color w:val="auto"/>
                <w:sz w:val="24"/>
                <w:highlight w:val="none"/>
              </w:rPr>
              <w:t>为了沟通交流和应急事件处理，根据投标人承诺到达采购人现场时间评分：承诺1个小时内达到现场的得100分，承诺4个小时内到达现场的得60分，承诺6个小时内到达现场的得20分，否则不得分。</w:t>
            </w:r>
          </w:p>
          <w:p>
            <w:pPr>
              <w:snapToGrid w:val="0"/>
              <w:spacing w:line="288" w:lineRule="auto"/>
              <w:ind w:left="59" w:leftChars="28"/>
              <w:jc w:val="left"/>
              <w:rPr>
                <w:rFonts w:asciiTheme="minorEastAsia" w:hAnsiTheme="minorEastAsia" w:hint="eastAsia"/>
                <w:b w:val="0"/>
                <w:bCs w:val="0"/>
                <w:color w:val="auto"/>
                <w:sz w:val="24"/>
                <w:highlight w:val="none"/>
              </w:rPr>
            </w:pPr>
            <w:r>
              <w:rPr>
                <w:rFonts w:asciiTheme="minorEastAsia" w:hAnsiTheme="minorEastAsia" w:hint="eastAsia"/>
                <w:b w:val="0"/>
                <w:bCs w:val="0"/>
                <w:color w:val="auto"/>
                <w:sz w:val="24"/>
                <w:highlight w:val="none"/>
              </w:rPr>
              <w:t>二、评分依据:</w:t>
            </w:r>
          </w:p>
          <w:p>
            <w:pPr>
              <w:snapToGrid w:val="0"/>
              <w:spacing w:line="288" w:lineRule="auto"/>
              <w:ind w:left="59" w:leftChars="28"/>
              <w:jc w:val="left"/>
              <w:rPr>
                <w:rFonts w:asciiTheme="minorEastAsia" w:hAnsiTheme="minorEastAsia" w:hint="eastAsia"/>
                <w:b w:val="0"/>
                <w:bCs w:val="0"/>
                <w:color w:val="auto"/>
                <w:sz w:val="24"/>
                <w:highlight w:val="none"/>
              </w:rPr>
            </w:pPr>
            <w:r>
              <w:rPr>
                <w:rFonts w:asciiTheme="minorEastAsia" w:hAnsiTheme="minorEastAsia" w:hint="eastAsia"/>
                <w:b w:val="0"/>
                <w:bCs w:val="0"/>
                <w:color w:val="auto"/>
                <w:sz w:val="24"/>
                <w:highlight w:val="none"/>
              </w:rPr>
              <w:t>1.要求提供服务承诺书作为得分依据。</w:t>
            </w:r>
          </w:p>
          <w:p>
            <w:pPr>
              <w:snapToGrid w:val="0"/>
              <w:spacing w:line="288" w:lineRule="auto"/>
              <w:ind w:left="59" w:leftChars="28"/>
              <w:jc w:val="left"/>
              <w:rPr>
                <w:rFonts w:asciiTheme="minorEastAsia" w:hAnsiTheme="minorEastAsia"/>
                <w:b w:val="0"/>
                <w:bCs w:val="0"/>
                <w:color w:val="auto"/>
                <w:sz w:val="24"/>
                <w:highlight w:val="none"/>
              </w:rPr>
            </w:pPr>
            <w:r>
              <w:rPr>
                <w:rFonts w:asciiTheme="minorEastAsia" w:hAnsiTheme="minorEastAsia" w:hint="eastAsia"/>
                <w:b w:val="0"/>
                <w:bCs w:val="0"/>
                <w:color w:val="auto"/>
                <w:sz w:val="24"/>
                <w:highlight w:val="none"/>
              </w:rPr>
              <w:t>2.未提供服务承诺书或无法判断的不得分。</w:t>
            </w:r>
          </w:p>
        </w:tc>
        <w:tc>
          <w:tcPr>
            <w:tcW w:w="685" w:type="dxa"/>
            <w:tcBorders>
              <w:right w:val="single" w:sz="4" w:space="0" w:color="auto"/>
            </w:tcBorders>
            <w:vAlign w:val="center"/>
          </w:tcPr>
          <w:p>
            <w:pPr>
              <w:ind w:left="-78" w:right="-74" w:leftChars="-37" w:rightChars="-35"/>
              <w:jc w:val="center"/>
              <w:rPr>
                <w:rFonts w:asciiTheme="minorEastAsia" w:eastAsiaTheme="minorEastAsia" w:hAnsiTheme="minorEastAsia" w:hint="eastAsia"/>
                <w:b w:val="0"/>
                <w:bCs w:val="0"/>
                <w:color w:val="auto"/>
                <w:sz w:val="24"/>
                <w:highlight w:val="none"/>
                <w:lang w:val="en-US" w:eastAsia="zh-CN"/>
              </w:rPr>
            </w:pPr>
            <w:r>
              <w:rPr>
                <w:rFonts w:asciiTheme="minorEastAsia" w:eastAsiaTheme="minorEastAsia" w:hAnsiTheme="minorEastAsia" w:hint="eastAsia"/>
                <w:b w:val="0"/>
                <w:bCs w:val="0"/>
                <w:color w:val="auto"/>
                <w:sz w:val="24"/>
                <w:highlight w:val="none"/>
                <w:lang w:val="en-US" w:eastAsia="zh-CN"/>
              </w:rPr>
              <w:t>2</w:t>
            </w:r>
          </w:p>
        </w:tc>
        <w:tc>
          <w:tcPr>
            <w:tcW w:w="792" w:type="dxa"/>
            <w:tcBorders>
              <w:left w:val="single" w:sz="4" w:space="0" w:color="auto"/>
            </w:tcBorders>
            <w:vAlign w:val="center"/>
          </w:tcPr>
          <w:p>
            <w:pPr>
              <w:ind w:left="-78" w:right="-74" w:leftChars="-37" w:rightChars="-35"/>
              <w:jc w:val="center"/>
              <w:rPr>
                <w:rFonts w:asciiTheme="minorEastAsia" w:eastAsiaTheme="minorEastAsia" w:hAnsiTheme="minorEastAsia" w:cs="宋体" w:hint="eastAsia"/>
                <w:b w:val="0"/>
                <w:bCs w:val="0"/>
                <w:color w:val="auto"/>
                <w:sz w:val="24"/>
                <w:highlight w:val="none"/>
                <w:lang w:val="en-US" w:eastAsia="zh-CN"/>
              </w:rPr>
            </w:pPr>
            <w:r>
              <w:rPr>
                <w:rFonts w:asciiTheme="minorEastAsia" w:eastAsiaTheme="minorEastAsia" w:hAnsiTheme="minorEastAsia" w:cs="宋体" w:hint="eastAsia"/>
                <w:b w:val="0"/>
                <w:bCs w:val="0"/>
                <w:color w:val="auto"/>
                <w:sz w:val="24"/>
                <w:highlight w:val="none"/>
                <w:lang w:val="en-US" w:eastAsia="zh-CN"/>
              </w:rPr>
              <w:t>2</w:t>
            </w:r>
          </w:p>
        </w:tc>
      </w:tr>
      <w:tr>
        <w:tblPrEx>
          <w:tblW w:w="9242" w:type="dxa"/>
          <w:tblInd w:w="93" w:type="dxa"/>
          <w:tblLayout w:type="fixed"/>
          <w:tblCellMar>
            <w:top w:w="0" w:type="dxa"/>
            <w:left w:w="108" w:type="dxa"/>
            <w:bottom w:w="0" w:type="dxa"/>
            <w:right w:w="108" w:type="dxa"/>
          </w:tblCellMar>
        </w:tblPrEx>
        <w:trPr>
          <w:trHeight w:val="883"/>
        </w:trPr>
        <w:tc>
          <w:tcPr>
            <w:tcW w:w="680" w:type="dxa"/>
            <w:tcBorders>
              <w:top w:val="single" w:sz="4" w:space="0" w:color="auto"/>
            </w:tcBorders>
            <w:vAlign w:val="center"/>
          </w:tcPr>
          <w:p>
            <w:pPr>
              <w:pStyle w:val="1"/>
              <w:numPr>
                <w:ilvl w:val="0"/>
                <w:numId w:val="17"/>
              </w:numPr>
              <w:ind w:firstLineChars="0"/>
              <w:jc w:val="right"/>
              <w:rPr>
                <w:rFonts w:asciiTheme="minorEastAsia" w:eastAsiaTheme="minorEastAsia" w:hAnsiTheme="minorEastAsia"/>
                <w:color w:val="auto"/>
                <w:sz w:val="24"/>
              </w:rPr>
            </w:pPr>
          </w:p>
        </w:tc>
        <w:tc>
          <w:tcPr>
            <w:tcW w:w="1355" w:type="dxa"/>
            <w:vAlign w:val="center"/>
          </w:tcPr>
          <w:p>
            <w:pPr>
              <w:jc w:val="center"/>
              <w:rPr>
                <w:rFonts w:asciiTheme="minorEastAsia" w:eastAsiaTheme="minorEastAsia" w:hAnsiTheme="minorEastAsia"/>
                <w:color w:val="auto"/>
                <w:sz w:val="24"/>
              </w:rPr>
            </w:pPr>
            <w:r>
              <w:rPr>
                <w:rFonts w:asciiTheme="minorEastAsia" w:eastAsiaTheme="minorEastAsia" w:hAnsiTheme="minorEastAsia" w:hint="eastAsia"/>
                <w:color w:val="auto"/>
                <w:sz w:val="24"/>
              </w:rPr>
              <w:t>项目拟使用的车辆情况</w:t>
            </w:r>
          </w:p>
        </w:tc>
        <w:tc>
          <w:tcPr>
            <w:tcW w:w="5730" w:type="dxa"/>
            <w:vAlign w:val="center"/>
          </w:tcPr>
          <w:p>
            <w:pPr>
              <w:ind w:right="-74" w:rightChars="-35"/>
              <w:jc w:val="left"/>
              <w:rPr>
                <w:rFonts w:asciiTheme="minorEastAsia" w:eastAsiaTheme="minorEastAsia" w:hAnsiTheme="minorEastAsia" w:hint="eastAsia"/>
                <w:color w:val="auto"/>
                <w:sz w:val="24"/>
              </w:rPr>
            </w:pPr>
            <w:r>
              <w:rPr>
                <w:rFonts w:asciiTheme="minorEastAsia" w:eastAsiaTheme="minorEastAsia" w:hAnsiTheme="minorEastAsia" w:hint="eastAsia"/>
                <w:color w:val="auto"/>
                <w:sz w:val="24"/>
              </w:rPr>
              <w:t>一、评分内容：</w:t>
            </w:r>
          </w:p>
          <w:p>
            <w:pPr>
              <w:ind w:right="-74" w:rightChars="-35"/>
              <w:jc w:val="left"/>
              <w:rPr>
                <w:rFonts w:asciiTheme="minorEastAsia" w:eastAsiaTheme="minorEastAsia" w:hAnsiTheme="minorEastAsia" w:hint="eastAsia"/>
                <w:color w:val="auto"/>
                <w:sz w:val="24"/>
              </w:rPr>
            </w:pPr>
            <w:r>
              <w:rPr>
                <w:rFonts w:asciiTheme="minorEastAsia" w:eastAsiaTheme="minorEastAsia" w:hAnsiTheme="minorEastAsia" w:hint="eastAsia"/>
                <w:color w:val="auto"/>
                <w:sz w:val="24"/>
              </w:rPr>
              <w:t>投标人提供不少于4台（含4台）可在项目实施地（深圳）全天行驶的车辆（自有或租赁），用于赴现场沟通或检查使用，得100分；否则不得分。</w:t>
            </w:r>
          </w:p>
          <w:p>
            <w:pPr>
              <w:ind w:right="-74" w:rightChars="-35"/>
              <w:jc w:val="left"/>
              <w:rPr>
                <w:rFonts w:asciiTheme="minorEastAsia" w:eastAsiaTheme="minorEastAsia" w:hAnsiTheme="minorEastAsia" w:hint="eastAsia"/>
                <w:color w:val="auto"/>
                <w:sz w:val="24"/>
              </w:rPr>
            </w:pPr>
            <w:r>
              <w:rPr>
                <w:rFonts w:asciiTheme="minorEastAsia" w:eastAsiaTheme="minorEastAsia" w:hAnsiTheme="minorEastAsia" w:hint="eastAsia"/>
                <w:color w:val="auto"/>
                <w:sz w:val="24"/>
              </w:rPr>
              <w:t>二、评分依据:</w:t>
            </w:r>
          </w:p>
          <w:p>
            <w:pPr>
              <w:ind w:right="-74" w:rightChars="-35"/>
              <w:jc w:val="left"/>
              <w:rPr>
                <w:rFonts w:asciiTheme="minorEastAsia" w:eastAsiaTheme="minorEastAsia" w:hAnsiTheme="minorEastAsia"/>
                <w:color w:val="auto"/>
                <w:sz w:val="24"/>
              </w:rPr>
            </w:pPr>
            <w:r>
              <w:rPr>
                <w:rFonts w:asciiTheme="minorEastAsia" w:eastAsiaTheme="minorEastAsia" w:hAnsiTheme="minorEastAsia" w:hint="eastAsia"/>
                <w:color w:val="auto"/>
                <w:sz w:val="24"/>
              </w:rPr>
              <w:t>要求投标人提供承诺（格式自定）、投标人名下车辆行驶证（或租赁合同）作为得分依据。</w:t>
            </w:r>
          </w:p>
        </w:tc>
        <w:tc>
          <w:tcPr>
            <w:tcW w:w="685" w:type="dxa"/>
            <w:tcBorders>
              <w:right w:val="single" w:sz="4" w:space="0" w:color="auto"/>
            </w:tcBorders>
            <w:vAlign w:val="center"/>
          </w:tcPr>
          <w:p>
            <w:pPr>
              <w:ind w:left="-78" w:right="-74" w:leftChars="-37" w:rightChars="-35"/>
              <w:jc w:val="center"/>
              <w:rPr>
                <w:rFonts w:asciiTheme="minorEastAsia" w:eastAsiaTheme="minorEastAsia" w:hAnsiTheme="minorEastAsia" w:hint="eastAsia"/>
                <w:color w:val="auto"/>
                <w:sz w:val="24"/>
                <w:lang w:val="en-US" w:eastAsia="zh-CN"/>
              </w:rPr>
            </w:pPr>
            <w:r>
              <w:rPr>
                <w:rFonts w:asciiTheme="minorEastAsia" w:eastAsiaTheme="minorEastAsia" w:hAnsiTheme="minorEastAsia" w:hint="eastAsia"/>
                <w:color w:val="auto"/>
                <w:sz w:val="24"/>
                <w:lang w:val="en-US" w:eastAsia="zh-CN"/>
              </w:rPr>
              <w:t>2</w:t>
            </w:r>
          </w:p>
        </w:tc>
        <w:tc>
          <w:tcPr>
            <w:tcW w:w="792" w:type="dxa"/>
            <w:tcBorders>
              <w:left w:val="single" w:sz="4" w:space="0" w:color="auto"/>
            </w:tcBorders>
            <w:vAlign w:val="center"/>
          </w:tcPr>
          <w:p>
            <w:pPr>
              <w:ind w:left="-78" w:right="-74" w:leftChars="-37" w:rightChars="-35"/>
              <w:jc w:val="center"/>
              <w:rPr>
                <w:rFonts w:asciiTheme="minorEastAsia" w:eastAsiaTheme="minorEastAsia" w:hAnsiTheme="minorEastAsia" w:cs="宋体" w:hint="eastAsia"/>
                <w:color w:val="auto"/>
                <w:sz w:val="24"/>
                <w:lang w:val="en-US" w:eastAsia="zh-CN"/>
              </w:rPr>
            </w:pPr>
            <w:r>
              <w:rPr>
                <w:rFonts w:asciiTheme="minorEastAsia" w:eastAsiaTheme="minorEastAsia" w:hAnsiTheme="minorEastAsia" w:cs="宋体" w:hint="eastAsia"/>
                <w:color w:val="auto"/>
                <w:sz w:val="24"/>
                <w:lang w:val="en-US" w:eastAsia="zh-CN"/>
              </w:rPr>
              <w:t>2</w:t>
            </w:r>
          </w:p>
        </w:tc>
      </w:tr>
      <w:tr>
        <w:tblPrEx>
          <w:tblW w:w="9242" w:type="dxa"/>
          <w:tblInd w:w="93" w:type="dxa"/>
          <w:tblLayout w:type="fixed"/>
          <w:tblCellMar>
            <w:top w:w="0" w:type="dxa"/>
            <w:left w:w="108" w:type="dxa"/>
            <w:bottom w:w="0" w:type="dxa"/>
            <w:right w:w="108" w:type="dxa"/>
          </w:tblCellMar>
        </w:tblPrEx>
        <w:trPr>
          <w:trHeight w:val="883"/>
        </w:trPr>
        <w:tc>
          <w:tcPr>
            <w:tcW w:w="680" w:type="dxa"/>
            <w:tcBorders>
              <w:top w:val="single" w:sz="4" w:space="0" w:color="auto"/>
            </w:tcBorders>
            <w:vAlign w:val="center"/>
          </w:tcPr>
          <w:p>
            <w:pPr>
              <w:pStyle w:val="1"/>
              <w:numPr>
                <w:ilvl w:val="0"/>
                <w:numId w:val="17"/>
              </w:numPr>
              <w:ind w:firstLineChars="0"/>
              <w:jc w:val="right"/>
              <w:rPr>
                <w:rFonts w:asciiTheme="minorEastAsia" w:eastAsiaTheme="minorEastAsia" w:hAnsiTheme="minorEastAsia"/>
                <w:color w:val="auto"/>
                <w:sz w:val="24"/>
              </w:rPr>
            </w:pPr>
          </w:p>
        </w:tc>
        <w:tc>
          <w:tcPr>
            <w:tcW w:w="1355" w:type="dxa"/>
            <w:vAlign w:val="center"/>
          </w:tcPr>
          <w:p>
            <w:pPr>
              <w:jc w:val="center"/>
              <w:rPr>
                <w:rFonts w:asciiTheme="minorEastAsia" w:hAnsiTheme="minorEastAsia"/>
                <w:color w:val="auto"/>
                <w:sz w:val="24"/>
              </w:rPr>
            </w:pPr>
            <w:r>
              <w:rPr>
                <w:rFonts w:asciiTheme="minorEastAsia" w:eastAsiaTheme="minorEastAsia" w:hAnsiTheme="minorEastAsia" w:cs="宋体" w:hint="eastAsia"/>
                <w:color w:val="auto"/>
                <w:sz w:val="24"/>
              </w:rPr>
              <w:t>诚信</w:t>
            </w:r>
          </w:p>
        </w:tc>
        <w:tc>
          <w:tcPr>
            <w:tcW w:w="5730" w:type="dxa"/>
            <w:vAlign w:val="center"/>
          </w:tcPr>
          <w:p>
            <w:pPr>
              <w:snapToGrid w:val="0"/>
              <w:spacing w:line="288" w:lineRule="auto"/>
              <w:ind w:left="59" w:leftChars="28"/>
              <w:rPr>
                <w:rFonts w:asciiTheme="minorEastAsia" w:hAnsiTheme="minorEastAsia"/>
                <w:b/>
                <w:color w:val="auto"/>
                <w:sz w:val="24"/>
                <w:highlight w:val="lightGray"/>
              </w:rPr>
            </w:pPr>
            <w:r>
              <w:rPr>
                <w:rFonts w:asciiTheme="minorEastAsia" w:eastAsiaTheme="minorEastAsia" w:hAnsiTheme="minorEastAsia" w:cs="宋体" w:hint="eastAsia"/>
                <w:color w:val="auto"/>
                <w:sz w:val="24"/>
              </w:rPr>
              <w:t>投标人在参与政府采购活动中存在诚信相关问题且在主管部门相关处理措施实施期限内的，本项不得分，否则得满分。投标人无需提供任何证明材料，由工作人员查询后向评审委员会提供相关信息。</w:t>
            </w:r>
          </w:p>
        </w:tc>
        <w:tc>
          <w:tcPr>
            <w:tcW w:w="685" w:type="dxa"/>
            <w:tcBorders>
              <w:right w:val="single" w:sz="4" w:space="0" w:color="auto"/>
            </w:tcBorders>
            <w:vAlign w:val="center"/>
          </w:tcPr>
          <w:p>
            <w:pPr>
              <w:ind w:left="-78" w:right="-74" w:leftChars="-37" w:rightChars="-35"/>
              <w:jc w:val="center"/>
              <w:rPr>
                <w:rFonts w:asciiTheme="minorEastAsia" w:eastAsiaTheme="minorEastAsia" w:hAnsiTheme="minorEastAsia"/>
                <w:color w:val="auto"/>
                <w:sz w:val="24"/>
              </w:rPr>
            </w:pPr>
            <w:r>
              <w:rPr>
                <w:rFonts w:asciiTheme="minorEastAsia" w:eastAsiaTheme="minorEastAsia" w:hAnsiTheme="minorEastAsia" w:hint="eastAsia"/>
                <w:color w:val="auto"/>
                <w:sz w:val="24"/>
              </w:rPr>
              <w:t>5</w:t>
            </w:r>
          </w:p>
        </w:tc>
        <w:tc>
          <w:tcPr>
            <w:tcW w:w="792" w:type="dxa"/>
            <w:tcBorders>
              <w:left w:val="single" w:sz="4" w:space="0" w:color="auto"/>
            </w:tcBorders>
            <w:vAlign w:val="center"/>
          </w:tcPr>
          <w:p>
            <w:pPr>
              <w:ind w:left="-78" w:right="-74" w:leftChars="-37" w:rightChars="-35"/>
              <w:jc w:val="center"/>
              <w:rPr>
                <w:rFonts w:asciiTheme="minorEastAsia" w:eastAsiaTheme="minorEastAsia" w:hAnsiTheme="minorEastAsia" w:cs="宋体"/>
                <w:color w:val="auto"/>
                <w:sz w:val="24"/>
              </w:rPr>
            </w:pPr>
            <w:r>
              <w:rPr>
                <w:rFonts w:asciiTheme="minorEastAsia" w:eastAsiaTheme="minorEastAsia" w:hAnsiTheme="minorEastAsia" w:cs="宋体" w:hint="eastAsia"/>
                <w:color w:val="auto"/>
                <w:sz w:val="24"/>
              </w:rPr>
              <w:t>5</w:t>
            </w:r>
          </w:p>
        </w:tc>
      </w:tr>
      <w:tr>
        <w:tblPrEx>
          <w:tblW w:w="9242" w:type="dxa"/>
          <w:tblInd w:w="93" w:type="dxa"/>
          <w:tblLayout w:type="fixed"/>
          <w:tblCellMar>
            <w:top w:w="0" w:type="dxa"/>
            <w:left w:w="108" w:type="dxa"/>
            <w:bottom w:w="0" w:type="dxa"/>
            <w:right w:w="108" w:type="dxa"/>
          </w:tblCellMar>
        </w:tblPrEx>
        <w:trPr>
          <w:trHeight w:val="447"/>
        </w:trPr>
        <w:tc>
          <w:tcPr>
            <w:tcW w:w="680" w:type="dxa"/>
            <w:tcBorders>
              <w:top w:val="single" w:sz="4" w:space="0" w:color="auto"/>
            </w:tcBorders>
            <w:vAlign w:val="center"/>
          </w:tcPr>
          <w:p>
            <w:pPr>
              <w:jc w:val="center"/>
              <w:rPr>
                <w:rFonts w:asciiTheme="minorEastAsia" w:eastAsiaTheme="minorEastAsia" w:hAnsiTheme="minorEastAsia"/>
                <w:b/>
                <w:color w:val="auto"/>
                <w:sz w:val="24"/>
              </w:rPr>
            </w:pPr>
            <w:r>
              <w:rPr>
                <w:rFonts w:asciiTheme="minorEastAsia" w:eastAsiaTheme="minorEastAsia" w:hAnsiTheme="minorEastAsia" w:hint="eastAsia"/>
                <w:b/>
                <w:color w:val="auto"/>
                <w:sz w:val="24"/>
              </w:rPr>
              <w:t>三</w:t>
            </w:r>
          </w:p>
        </w:tc>
        <w:tc>
          <w:tcPr>
            <w:tcW w:w="8562" w:type="dxa"/>
            <w:gridSpan w:val="4"/>
            <w:vAlign w:val="center"/>
          </w:tcPr>
          <w:p>
            <w:pPr>
              <w:ind w:left="-78" w:right="-74" w:leftChars="-37" w:rightChars="-35"/>
              <w:jc w:val="center"/>
              <w:rPr>
                <w:rFonts w:asciiTheme="minorEastAsia" w:eastAsiaTheme="minorEastAsia" w:hAnsiTheme="minorEastAsia" w:cs="宋体"/>
                <w:b/>
                <w:color w:val="auto"/>
                <w:sz w:val="24"/>
              </w:rPr>
            </w:pPr>
            <w:r>
              <w:rPr>
                <w:rFonts w:asciiTheme="minorEastAsia" w:eastAsiaTheme="minorEastAsia" w:hAnsiTheme="minorEastAsia" w:hint="eastAsia"/>
                <w:b/>
                <w:color w:val="auto"/>
                <w:sz w:val="24"/>
              </w:rPr>
              <w:t>价格部分（</w:t>
            </w:r>
            <w:r>
              <w:rPr>
                <w:rFonts w:ascii="宋体" w:hAnsi="宋体" w:hint="eastAsia"/>
                <w:b/>
                <w:color w:val="auto"/>
                <w:sz w:val="24"/>
              </w:rPr>
              <w:t>合计</w:t>
            </w:r>
            <w:r>
              <w:rPr>
                <w:rFonts w:ascii="宋体" w:hAnsi="宋体" w:hint="eastAsia"/>
                <w:b/>
                <w:color w:val="auto"/>
                <w:sz w:val="24"/>
                <w:lang w:val="en-US" w:eastAsia="zh-CN"/>
              </w:rPr>
              <w:t>10</w:t>
            </w:r>
            <w:r>
              <w:rPr>
                <w:rFonts w:ascii="宋体" w:hAnsi="宋体" w:hint="eastAsia"/>
                <w:b/>
                <w:color w:val="auto"/>
                <w:sz w:val="24"/>
              </w:rPr>
              <w:t>分</w:t>
            </w:r>
            <w:r>
              <w:rPr>
                <w:rFonts w:asciiTheme="minorEastAsia" w:eastAsiaTheme="minorEastAsia" w:hAnsiTheme="minorEastAsia" w:hint="eastAsia"/>
                <w:b/>
                <w:color w:val="auto"/>
                <w:sz w:val="24"/>
              </w:rPr>
              <w:t>）</w:t>
            </w:r>
          </w:p>
        </w:tc>
      </w:tr>
      <w:tr>
        <w:tblPrEx>
          <w:tblW w:w="9242" w:type="dxa"/>
          <w:tblInd w:w="93" w:type="dxa"/>
          <w:tblLayout w:type="fixed"/>
          <w:tblCellMar>
            <w:top w:w="0" w:type="dxa"/>
            <w:left w:w="108" w:type="dxa"/>
            <w:bottom w:w="0" w:type="dxa"/>
            <w:right w:w="108" w:type="dxa"/>
          </w:tblCellMar>
        </w:tblPrEx>
        <w:trPr>
          <w:trHeight w:val="831"/>
        </w:trPr>
        <w:tc>
          <w:tcPr>
            <w:tcW w:w="680" w:type="dxa"/>
            <w:vAlign w:val="center"/>
          </w:tcPr>
          <w:p>
            <w:pPr>
              <w:pStyle w:val="1"/>
              <w:numPr>
                <w:ilvl w:val="0"/>
                <w:numId w:val="18"/>
              </w:numPr>
              <w:ind w:firstLineChars="0"/>
              <w:jc w:val="right"/>
              <w:rPr>
                <w:rFonts w:asciiTheme="minorEastAsia" w:eastAsiaTheme="minorEastAsia" w:hAnsiTheme="minorEastAsia"/>
                <w:color w:val="auto"/>
                <w:sz w:val="24"/>
                <w:highlight w:val="none"/>
              </w:rPr>
            </w:pPr>
          </w:p>
        </w:tc>
        <w:tc>
          <w:tcPr>
            <w:tcW w:w="1355" w:type="dxa"/>
            <w:vAlign w:val="center"/>
          </w:tcPr>
          <w:p>
            <w:pPr>
              <w:jc w:val="center"/>
              <w:rPr>
                <w:rFonts w:asciiTheme="minorEastAsia" w:eastAsiaTheme="minorEastAsia" w:hAnsiTheme="minorEastAsia"/>
                <w:color w:val="auto"/>
                <w:sz w:val="24"/>
                <w:highlight w:val="none"/>
              </w:rPr>
            </w:pPr>
            <w:r>
              <w:rPr>
                <w:rFonts w:asciiTheme="minorEastAsia" w:eastAsiaTheme="minorEastAsia" w:hAnsiTheme="minorEastAsia" w:hint="eastAsia"/>
                <w:color w:val="auto"/>
                <w:sz w:val="24"/>
                <w:highlight w:val="none"/>
              </w:rPr>
              <w:t>投标报价</w:t>
            </w:r>
          </w:p>
        </w:tc>
        <w:tc>
          <w:tcPr>
            <w:tcW w:w="5730" w:type="dxa"/>
            <w:vAlign w:val="center"/>
          </w:tcPr>
          <w:p>
            <w:pPr>
              <w:autoSpaceDE w:val="0"/>
              <w:autoSpaceDN w:val="0"/>
              <w:adjustRightInd w:val="0"/>
              <w:snapToGrid w:val="0"/>
              <w:rPr>
                <w:rFonts w:asciiTheme="minorEastAsia" w:eastAsiaTheme="minorEastAsia" w:hAnsiTheme="minorEastAsia" w:cs="宋体"/>
                <w:color w:val="auto"/>
                <w:kern w:val="0"/>
                <w:sz w:val="24"/>
                <w:highlight w:val="none"/>
              </w:rPr>
            </w:pPr>
            <w:r>
              <w:rPr>
                <w:rFonts w:asciiTheme="minorEastAsia" w:eastAsiaTheme="minorEastAsia" w:hAnsiTheme="minorEastAsia" w:cs="宋体"/>
                <w:color w:val="auto"/>
                <w:kern w:val="0"/>
                <w:sz w:val="24"/>
                <w:highlight w:val="none"/>
              </w:rPr>
              <w:t>价格分</w:t>
            </w:r>
            <w:r>
              <w:rPr>
                <w:rFonts w:asciiTheme="minorEastAsia" w:eastAsiaTheme="minorEastAsia" w:hAnsiTheme="minorEastAsia" w:cs="宋体" w:hint="eastAsia"/>
                <w:color w:val="auto"/>
                <w:kern w:val="0"/>
                <w:sz w:val="24"/>
                <w:highlight w:val="none"/>
              </w:rPr>
              <w:t>应当采用低价优先法计算，即满足招标文件要求且投标价格最低的投标报价为评标基准价，其价格分为满分。其他投标人的价格分统一按照下列公式计算：</w:t>
            </w:r>
          </w:p>
          <w:p>
            <w:pPr>
              <w:widowControl/>
              <w:jc w:val="left"/>
              <w:rPr>
                <w:rFonts w:asciiTheme="minorEastAsia" w:eastAsiaTheme="minorEastAsia" w:hAnsiTheme="minorEastAsia" w:cs="宋体"/>
                <w:color w:val="auto"/>
                <w:kern w:val="0"/>
                <w:sz w:val="24"/>
                <w:highlight w:val="none"/>
              </w:rPr>
            </w:pPr>
            <w:r>
              <w:rPr>
                <w:rFonts w:asciiTheme="minorEastAsia" w:eastAsiaTheme="minorEastAsia" w:hAnsiTheme="minorEastAsia" w:cs="宋体" w:hint="eastAsia"/>
                <w:color w:val="auto"/>
                <w:kern w:val="0"/>
                <w:sz w:val="24"/>
                <w:highlight w:val="none"/>
              </w:rPr>
              <w:t>投标报价得分=(评标基准价／投标报价)×100×权重</w:t>
            </w:r>
          </w:p>
          <w:p>
            <w:pPr>
              <w:widowControl/>
              <w:jc w:val="left"/>
              <w:rPr>
                <w:rFonts w:asciiTheme="minorEastAsia" w:eastAsiaTheme="minorEastAsia" w:hAnsiTheme="minorEastAsia"/>
                <w:bCs/>
                <w:color w:val="auto"/>
                <w:sz w:val="24"/>
                <w:highlight w:val="none"/>
              </w:rPr>
            </w:pPr>
            <w:r>
              <w:rPr>
                <w:rFonts w:asciiTheme="minorEastAsia" w:eastAsiaTheme="minorEastAsia" w:hAnsiTheme="minorEastAsia" w:hint="eastAsia"/>
                <w:bCs/>
                <w:color w:val="auto"/>
                <w:sz w:val="24"/>
                <w:highlight w:val="none"/>
              </w:rPr>
              <w:t>备注：</w:t>
            </w:r>
          </w:p>
          <w:p>
            <w:pPr>
              <w:widowControl/>
              <w:jc w:val="left"/>
              <w:rPr>
                <w:rFonts w:asciiTheme="minorEastAsia" w:eastAsiaTheme="minorEastAsia" w:hAnsiTheme="minorEastAsia" w:cs="宋体"/>
                <w:color w:val="auto"/>
                <w:sz w:val="24"/>
                <w:highlight w:val="none"/>
              </w:rPr>
            </w:pPr>
            <w:r>
              <w:rPr>
                <w:rFonts w:asciiTheme="minorEastAsia" w:eastAsiaTheme="minorEastAsia" w:hAnsiTheme="minorEastAsia" w:hint="eastAsia"/>
                <w:bCs/>
                <w:color w:val="auto"/>
                <w:sz w:val="24"/>
                <w:highlight w:val="none"/>
              </w:rPr>
              <w:t>1、因落实政府采购政策进行价格调整的，以调整后的价格计算评标基准价和投标报价</w:t>
            </w:r>
            <w:r>
              <w:rPr>
                <w:rFonts w:asciiTheme="minorEastAsia" w:eastAsiaTheme="minorEastAsia" w:hAnsiTheme="minorEastAsia" w:cs="宋体" w:hint="eastAsia"/>
                <w:color w:val="auto"/>
                <w:sz w:val="24"/>
                <w:highlight w:val="none"/>
              </w:rPr>
              <w:t>,详见《价格扣除》。</w:t>
            </w:r>
          </w:p>
          <w:p>
            <w:pPr>
              <w:rPr>
                <w:rFonts w:asciiTheme="minorEastAsia" w:eastAsiaTheme="minorEastAsia" w:hAnsiTheme="minorEastAsia"/>
                <w:b/>
                <w:bCs/>
                <w:color w:val="auto"/>
                <w:sz w:val="24"/>
                <w:highlight w:val="none"/>
                <w:u w:val="double"/>
              </w:rPr>
            </w:pPr>
            <w:r>
              <w:rPr>
                <w:rFonts w:asciiTheme="minorEastAsia" w:eastAsiaTheme="minorEastAsia" w:hAnsiTheme="minorEastAsia" w:hint="eastAsia"/>
                <w:bCs/>
                <w:color w:val="auto"/>
                <w:sz w:val="24"/>
                <w:highlight w:val="none"/>
              </w:rPr>
              <w:t>2、投标报价得分四舍五入后，</w:t>
            </w:r>
            <w:r>
              <w:rPr>
                <w:rFonts w:asciiTheme="minorEastAsia" w:eastAsiaTheme="minorEastAsia" w:hAnsiTheme="minorEastAsia" w:cs="Arial" w:hint="eastAsia"/>
                <w:color w:val="auto"/>
                <w:sz w:val="24"/>
                <w:highlight w:val="none"/>
              </w:rPr>
              <w:t>小数点后保留两位有效数。</w:t>
            </w:r>
          </w:p>
        </w:tc>
        <w:tc>
          <w:tcPr>
            <w:tcW w:w="685" w:type="dxa"/>
            <w:tcBorders>
              <w:right w:val="single" w:sz="4" w:space="0" w:color="auto"/>
            </w:tcBorders>
            <w:vAlign w:val="center"/>
          </w:tcPr>
          <w:p>
            <w:pPr>
              <w:ind w:left="-78" w:right="-74" w:leftChars="-37" w:rightChars="-35"/>
              <w:jc w:val="center"/>
              <w:rPr>
                <w:rFonts w:asciiTheme="minorEastAsia" w:eastAsiaTheme="minorEastAsia" w:hAnsiTheme="minorEastAsia" w:cs="宋体"/>
                <w:b w:val="0"/>
                <w:bCs/>
                <w:color w:val="auto"/>
                <w:sz w:val="24"/>
                <w:highlight w:val="none"/>
              </w:rPr>
            </w:pPr>
            <w:r>
              <w:rPr>
                <w:rFonts w:ascii="宋体" w:hAnsi="宋体" w:hint="eastAsia"/>
                <w:b w:val="0"/>
                <w:bCs/>
                <w:color w:val="auto"/>
                <w:sz w:val="24"/>
                <w:highlight w:val="none"/>
                <w:lang w:val="en-US" w:eastAsia="zh-CN"/>
              </w:rPr>
              <w:t>10</w:t>
            </w:r>
            <w:r>
              <w:rPr>
                <w:rFonts w:asciiTheme="minorEastAsia" w:eastAsiaTheme="minorEastAsia" w:hAnsiTheme="minorEastAsia" w:cs="宋体"/>
                <w:b w:val="0"/>
                <w:bCs/>
                <w:color w:val="auto"/>
                <w:sz w:val="24"/>
                <w:highlight w:val="none"/>
              </w:rPr>
              <w:t xml:space="preserve"> </w:t>
            </w:r>
          </w:p>
        </w:tc>
        <w:tc>
          <w:tcPr>
            <w:tcW w:w="792" w:type="dxa"/>
            <w:tcBorders>
              <w:left w:val="single" w:sz="4" w:space="0" w:color="auto"/>
            </w:tcBorders>
            <w:vAlign w:val="center"/>
          </w:tcPr>
          <w:p>
            <w:pPr>
              <w:ind w:left="-78" w:right="-74" w:leftChars="-37" w:rightChars="-35"/>
              <w:jc w:val="center"/>
              <w:rPr>
                <w:rFonts w:asciiTheme="minorEastAsia" w:eastAsiaTheme="minorEastAsia" w:hAnsiTheme="minorEastAsia" w:cs="宋体"/>
                <w:b w:val="0"/>
                <w:bCs/>
                <w:color w:val="auto"/>
                <w:sz w:val="24"/>
                <w:highlight w:val="none"/>
              </w:rPr>
            </w:pPr>
            <w:r>
              <w:rPr>
                <w:rFonts w:ascii="宋体" w:hAnsi="宋体" w:hint="eastAsia"/>
                <w:b w:val="0"/>
                <w:bCs/>
                <w:color w:val="auto"/>
                <w:sz w:val="24"/>
                <w:highlight w:val="none"/>
                <w:lang w:val="en-US" w:eastAsia="zh-CN"/>
              </w:rPr>
              <w:t>10</w:t>
            </w:r>
          </w:p>
        </w:tc>
      </w:tr>
      <w:tr>
        <w:tblPrEx>
          <w:tblW w:w="9242" w:type="dxa"/>
          <w:tblInd w:w="93" w:type="dxa"/>
          <w:tblLayout w:type="fixed"/>
          <w:tblCellMar>
            <w:top w:w="0" w:type="dxa"/>
            <w:left w:w="108" w:type="dxa"/>
            <w:bottom w:w="0" w:type="dxa"/>
            <w:right w:w="108" w:type="dxa"/>
          </w:tblCellMar>
        </w:tblPrEx>
        <w:trPr>
          <w:trHeight w:val="523"/>
        </w:trPr>
        <w:tc>
          <w:tcPr>
            <w:tcW w:w="7765" w:type="dxa"/>
            <w:gridSpan w:val="3"/>
            <w:vAlign w:val="center"/>
          </w:tcPr>
          <w:p>
            <w:pPr>
              <w:ind w:left="-78" w:right="-74" w:leftChars="-37" w:rightChars="-35"/>
              <w:jc w:val="center"/>
              <w:rPr>
                <w:rFonts w:asciiTheme="minorEastAsia" w:eastAsiaTheme="minorEastAsia" w:hAnsiTheme="minorEastAsia" w:cs="宋体"/>
                <w:color w:val="auto"/>
                <w:sz w:val="24"/>
                <w:highlight w:val="none"/>
              </w:rPr>
            </w:pPr>
            <w:r>
              <w:rPr>
                <w:rFonts w:asciiTheme="minorEastAsia" w:eastAsiaTheme="minorEastAsia" w:hAnsiTheme="minorEastAsia" w:hint="eastAsia"/>
                <w:color w:val="auto"/>
                <w:sz w:val="24"/>
                <w:highlight w:val="none"/>
              </w:rPr>
              <w:t>合计</w:t>
            </w:r>
          </w:p>
        </w:tc>
        <w:tc>
          <w:tcPr>
            <w:tcW w:w="685" w:type="dxa"/>
            <w:tcBorders>
              <w:right w:val="single" w:sz="4" w:space="0" w:color="auto"/>
            </w:tcBorders>
            <w:vAlign w:val="center"/>
          </w:tcPr>
          <w:p>
            <w:pPr>
              <w:ind w:left="-78" w:right="-74" w:leftChars="-37" w:rightChars="-35"/>
              <w:jc w:val="center"/>
              <w:rPr>
                <w:rFonts w:asciiTheme="minorEastAsia" w:eastAsiaTheme="minorEastAsia" w:hAnsiTheme="minorEastAsia" w:cs="宋体"/>
                <w:color w:val="auto"/>
                <w:sz w:val="24"/>
                <w:highlight w:val="none"/>
              </w:rPr>
            </w:pPr>
            <w:r>
              <w:rPr>
                <w:rFonts w:asciiTheme="minorEastAsia" w:eastAsiaTheme="minorEastAsia" w:hAnsiTheme="minorEastAsia" w:cs="宋体" w:hint="eastAsia"/>
                <w:color w:val="auto"/>
                <w:sz w:val="24"/>
                <w:highlight w:val="none"/>
              </w:rPr>
              <w:t>100</w:t>
            </w:r>
          </w:p>
        </w:tc>
        <w:tc>
          <w:tcPr>
            <w:tcW w:w="792" w:type="dxa"/>
            <w:tcBorders>
              <w:left w:val="single" w:sz="4" w:space="0" w:color="auto"/>
            </w:tcBorders>
            <w:vAlign w:val="center"/>
          </w:tcPr>
          <w:p>
            <w:pPr>
              <w:ind w:left="-78" w:right="-74" w:leftChars="-37" w:rightChars="-35"/>
              <w:jc w:val="center"/>
              <w:rPr>
                <w:rFonts w:asciiTheme="minorEastAsia" w:eastAsiaTheme="minorEastAsia" w:hAnsiTheme="minorEastAsia" w:cs="宋体"/>
                <w:color w:val="auto"/>
                <w:sz w:val="24"/>
                <w:highlight w:val="none"/>
              </w:rPr>
            </w:pPr>
            <w:r>
              <w:rPr>
                <w:rFonts w:asciiTheme="minorEastAsia" w:eastAsiaTheme="minorEastAsia" w:hAnsiTheme="minorEastAsia" w:cs="宋体" w:hint="eastAsia"/>
                <w:color w:val="auto"/>
                <w:sz w:val="24"/>
                <w:highlight w:val="none"/>
              </w:rPr>
              <w:t>100</w:t>
            </w:r>
          </w:p>
        </w:tc>
      </w:tr>
    </w:tbl>
    <w:p>
      <w:pPr>
        <w:spacing w:line="540" w:lineRule="exact"/>
        <w:rPr>
          <w:rFonts w:asciiTheme="minorEastAsia" w:eastAsiaTheme="minorEastAsia" w:hAnsiTheme="minorEastAsia" w:cs="宋体"/>
          <w:color w:val="auto"/>
          <w:kern w:val="0"/>
          <w:sz w:val="24"/>
          <w:highlight w:val="none"/>
        </w:rPr>
      </w:pPr>
      <w:r>
        <w:rPr>
          <w:rFonts w:asciiTheme="minorEastAsia" w:eastAsiaTheme="minorEastAsia" w:hAnsiTheme="minorEastAsia" w:hint="eastAsia"/>
          <w:b/>
          <w:color w:val="auto"/>
          <w:sz w:val="24"/>
          <w:highlight w:val="none"/>
        </w:rPr>
        <w:t>备注：</w:t>
      </w:r>
      <w:r>
        <w:rPr>
          <w:rFonts w:asciiTheme="minorEastAsia" w:eastAsiaTheme="minorEastAsia" w:hAnsiTheme="minorEastAsia" w:cs="宋体" w:hint="eastAsia"/>
          <w:color w:val="auto"/>
          <w:kern w:val="0"/>
          <w:sz w:val="24"/>
          <w:highlight w:val="none"/>
        </w:rPr>
        <w:t>评标信息内评分方法的说明：</w:t>
      </w:r>
    </w:p>
    <w:p>
      <w:pPr>
        <w:spacing w:line="540" w:lineRule="exact"/>
        <w:ind w:firstLine="525" w:firstLineChars="250"/>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（1）权重：按百分比进行设置；</w:t>
      </w:r>
    </w:p>
    <w:p>
      <w:pPr>
        <w:spacing w:line="540" w:lineRule="exact"/>
        <w:ind w:firstLine="525" w:firstLineChars="250"/>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（2）评分准则：按照评标系统设置要求，每项“评分准则”皆按百分制打分；</w:t>
      </w:r>
    </w:p>
    <w:p>
      <w:pPr>
        <w:spacing w:line="540" w:lineRule="exact"/>
        <w:ind w:firstLine="525" w:firstLineChars="250"/>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（3）每项“评分因素”的得分=对应“评分准则”的分值×对应权重%。</w:t>
      </w:r>
    </w:p>
    <w:p>
      <w:pPr>
        <w:widowControl/>
        <w:jc w:val="center"/>
        <w:outlineLvl w:val="3"/>
        <w:rPr>
          <w:rFonts w:ascii="黑体" w:eastAsia="黑体" w:hAnsi="宋体" w:cs="宋体"/>
          <w:sz w:val="28"/>
          <w:szCs w:val="28"/>
        </w:rPr>
      </w:pPr>
      <w:r>
        <w:rPr>
          <w:rFonts w:ascii="黑体" w:eastAsia="黑体" w:hAnsi="宋体" w:cs="宋体"/>
          <w:sz w:val="28"/>
          <w:szCs w:val="28"/>
        </w:rPr>
        <w:br w:type="page"/>
      </w:r>
      <w:bookmarkEnd w:id="80"/>
      <w:r>
        <w:rPr>
          <w:rFonts w:ascii="黑体" w:eastAsia="黑体" w:hAnsi="宋体" w:cs="宋体" w:hint="eastAsia"/>
          <w:sz w:val="28"/>
          <w:szCs w:val="28"/>
        </w:rPr>
        <w:t>政策功能</w:t>
      </w:r>
    </w:p>
    <w:p>
      <w:pPr>
        <w:widowControl/>
        <w:jc w:val="center"/>
        <w:outlineLvl w:val="4"/>
        <w:rPr>
          <w:rFonts w:ascii="黑体" w:eastAsia="黑体" w:hAnsi="宋体" w:cs="宋体"/>
          <w:sz w:val="28"/>
          <w:szCs w:val="28"/>
        </w:rPr>
      </w:pPr>
      <w:r>
        <w:rPr>
          <w:rFonts w:ascii="黑体" w:eastAsia="黑体" w:hAnsi="宋体" w:cs="宋体" w:hint="eastAsia"/>
          <w:sz w:val="28"/>
          <w:szCs w:val="28"/>
        </w:rPr>
        <w:t>第一部分 价格扣除</w:t>
      </w:r>
    </w:p>
    <w:p>
      <w:pPr>
        <w:snapToGrid w:val="0"/>
        <w:spacing w:line="360" w:lineRule="auto"/>
        <w:jc w:val="center"/>
        <w:rPr>
          <w:rFonts w:ascii="宋体" w:hAnsi="宋体"/>
          <w:b/>
          <w:bCs/>
          <w:color w:val="FF0000"/>
          <w:sz w:val="24"/>
        </w:rPr>
      </w:pPr>
    </w:p>
    <w:p>
      <w:pPr>
        <w:pStyle w:val="ListParagraph"/>
        <w:numPr>
          <w:ilvl w:val="0"/>
          <w:numId w:val="19"/>
        </w:numPr>
        <w:snapToGrid w:val="0"/>
        <w:spacing w:line="360" w:lineRule="auto"/>
        <w:ind w:firstLineChars="0"/>
        <w:jc w:val="center"/>
        <w:rPr>
          <w:rFonts w:ascii="宋体" w:hAnsi="宋体"/>
          <w:b/>
          <w:bCs/>
          <w:color w:val="000000" w:themeColor="text1"/>
          <w:sz w:val="24"/>
          <w14:textFill>
            <w14:solidFill>
              <w14:schemeClr w14:val="tx1"/>
            </w14:solidFill>
          </w14:textFill>
        </w:rPr>
      </w:pPr>
      <w:r>
        <w:rPr>
          <w:rFonts w:ascii="宋体" w:hAnsi="宋体" w:hint="eastAsia"/>
          <w:b/>
          <w:bCs/>
          <w:color w:val="000000" w:themeColor="text1"/>
          <w:sz w:val="24"/>
          <w14:textFill>
            <w14:solidFill>
              <w14:schemeClr w14:val="tx1"/>
            </w14:solidFill>
          </w14:textFill>
        </w:rPr>
        <w:t>小微企业产品价格扣除</w:t>
      </w:r>
    </w:p>
    <w:p>
      <w:pPr>
        <w:numPr>
          <w:ilvl w:val="1"/>
          <w:numId w:val="20"/>
        </w:numPr>
        <w:adjustRightInd w:val="0"/>
        <w:spacing w:line="360" w:lineRule="auto"/>
        <w:textAlignment w:val="baseline"/>
        <w:rPr>
          <w:rFonts w:ascii="宋体" w:hAnsi="宋体" w:cs="宋体"/>
          <w:bCs/>
          <w:color w:val="000000"/>
          <w:kern w:val="0"/>
          <w:sz w:val="24"/>
        </w:rPr>
      </w:pPr>
      <w:r>
        <w:rPr>
          <w:rFonts w:ascii="宋体" w:hAnsi="宋体" w:cs="宋体" w:hint="eastAsia"/>
          <w:bCs/>
          <w:color w:val="000000"/>
          <w:kern w:val="0"/>
          <w:sz w:val="24"/>
        </w:rPr>
        <w:t>根据财政部、工业和信息化部印发的《政府采购促进中小企业发展管理办法》（财库〔2020〕46号）的规定，对小型和微型企业产品的价格给予</w:t>
      </w:r>
      <w:r>
        <w:rPr>
          <w:rFonts w:ascii="宋体" w:hAnsi="宋体" w:cs="宋体" w:hint="eastAsia"/>
          <w:bCs/>
          <w:color w:val="000000"/>
          <w:kern w:val="0"/>
          <w:sz w:val="24"/>
          <w:u w:val="single"/>
          <w:lang w:val="en-US" w:eastAsia="zh-CN"/>
        </w:rPr>
        <w:t>10%</w:t>
      </w:r>
      <w:r>
        <w:rPr>
          <w:rFonts w:ascii="宋体" w:hAnsi="宋体" w:cs="宋体" w:hint="eastAsia"/>
          <w:bCs/>
          <w:color w:val="000000"/>
          <w:kern w:val="0"/>
          <w:sz w:val="24"/>
        </w:rPr>
        <w:t>的扣除用扣除后的价格参与评审。</w:t>
      </w:r>
    </w:p>
    <w:p>
      <w:pPr>
        <w:numPr>
          <w:ilvl w:val="1"/>
          <w:numId w:val="20"/>
        </w:numPr>
        <w:adjustRightInd w:val="0"/>
        <w:spacing w:line="360" w:lineRule="auto"/>
        <w:textAlignment w:val="baseline"/>
        <w:rPr>
          <w:rFonts w:ascii="宋体" w:hAnsi="宋体"/>
          <w:color w:val="000000"/>
          <w:kern w:val="0"/>
          <w:sz w:val="24"/>
        </w:rPr>
      </w:pPr>
      <w:r>
        <w:rPr>
          <w:rFonts w:ascii="宋体" w:hAnsi="宋体" w:cs="宋体" w:hint="eastAsia"/>
          <w:color w:val="000000"/>
          <w:kern w:val="0"/>
          <w:sz w:val="24"/>
        </w:rPr>
        <w:t>监狱企业产品价格扣除</w:t>
      </w:r>
    </w:p>
    <w:p>
      <w:pPr>
        <w:numPr>
          <w:ilvl w:val="2"/>
          <w:numId w:val="21"/>
        </w:numPr>
        <w:adjustRightInd w:val="0"/>
        <w:spacing w:line="360" w:lineRule="auto"/>
        <w:ind w:left="567" w:hanging="567"/>
        <w:textAlignment w:val="baseline"/>
        <w:rPr>
          <w:rFonts w:ascii="宋体" w:hAnsi="宋体"/>
          <w:color w:val="000000"/>
          <w:kern w:val="0"/>
          <w:sz w:val="24"/>
        </w:rPr>
      </w:pPr>
      <w:r>
        <w:rPr>
          <w:rFonts w:ascii="宋体" w:hAnsi="宋体" w:cs="宋体" w:hint="eastAsia"/>
          <w:color w:val="000000"/>
          <w:kern w:val="0"/>
          <w:sz w:val="24"/>
        </w:rPr>
        <w:t>监狱企业视同小微企业，按上述第（一）条款享受评审中价格扣除。</w:t>
      </w:r>
    </w:p>
    <w:p>
      <w:pPr>
        <w:numPr>
          <w:ilvl w:val="1"/>
          <w:numId w:val="20"/>
        </w:numPr>
        <w:adjustRightInd w:val="0"/>
        <w:spacing w:line="360" w:lineRule="auto"/>
        <w:textAlignment w:val="baseline"/>
        <w:rPr>
          <w:rFonts w:ascii="宋体" w:hAnsi="宋体"/>
          <w:color w:val="000000"/>
          <w:kern w:val="0"/>
          <w:sz w:val="24"/>
        </w:rPr>
      </w:pPr>
      <w:r>
        <w:rPr>
          <w:rFonts w:ascii="宋体" w:hAnsi="宋体" w:cs="宋体" w:hint="eastAsia"/>
          <w:color w:val="000000"/>
          <w:kern w:val="0"/>
          <w:sz w:val="24"/>
        </w:rPr>
        <w:t>残疾人福利性单位产品价格扣除</w:t>
      </w:r>
    </w:p>
    <w:p>
      <w:pPr>
        <w:numPr>
          <w:ilvl w:val="2"/>
          <w:numId w:val="22"/>
        </w:numPr>
        <w:adjustRightInd w:val="0"/>
        <w:spacing w:line="360" w:lineRule="auto"/>
        <w:ind w:left="567" w:hanging="567"/>
        <w:textAlignment w:val="baseline"/>
        <w:rPr>
          <w:rFonts w:ascii="宋体" w:hAnsi="宋体"/>
          <w:color w:val="000000"/>
          <w:kern w:val="0"/>
          <w:sz w:val="24"/>
        </w:rPr>
      </w:pPr>
      <w:r>
        <w:rPr>
          <w:rFonts w:ascii="宋体" w:hAnsi="宋体" w:cs="宋体" w:hint="eastAsia"/>
          <w:color w:val="000000"/>
          <w:kern w:val="0"/>
          <w:sz w:val="24"/>
        </w:rPr>
        <w:t>残疾人福利性单位视同小微企业，按上述第（一）条款享受评审中价格扣除。</w:t>
      </w:r>
    </w:p>
    <w:p>
      <w:pPr>
        <w:snapToGrid w:val="0"/>
        <w:spacing w:line="360" w:lineRule="auto"/>
        <w:rPr>
          <w:rFonts w:ascii="宋体" w:hAnsi="宋体"/>
          <w:color w:val="000000" w:themeColor="text1"/>
          <w:sz w:val="24"/>
          <w14:textFill>
            <w14:solidFill>
              <w14:schemeClr w14:val="tx1"/>
            </w14:solidFill>
          </w14:textFill>
        </w:rPr>
      </w:pPr>
    </w:p>
    <w:p>
      <w:pPr>
        <w:pStyle w:val="ListParagraph"/>
        <w:numPr>
          <w:ilvl w:val="0"/>
          <w:numId w:val="19"/>
        </w:numPr>
        <w:snapToGrid w:val="0"/>
        <w:spacing w:line="360" w:lineRule="auto"/>
        <w:ind w:firstLineChars="0"/>
        <w:jc w:val="center"/>
        <w:rPr>
          <w:rFonts w:ascii="宋体" w:hAnsi="宋体"/>
          <w:b/>
          <w:bCs/>
          <w:color w:val="4472C4"/>
          <w:sz w:val="24"/>
          <w:szCs w:val="22"/>
        </w:rPr>
      </w:pPr>
      <w:r>
        <w:rPr>
          <w:rFonts w:ascii="宋体" w:hAnsi="宋体" w:hint="eastAsia"/>
          <w:b/>
          <w:bCs/>
          <w:color w:val="000000" w:themeColor="text1"/>
          <w:sz w:val="24"/>
          <w:szCs w:val="22"/>
          <w14:textFill>
            <w14:solidFill>
              <w14:schemeClr w14:val="tx1"/>
            </w14:solidFill>
          </w14:textFill>
        </w:rPr>
        <w:t>节能产品、环境标志产品价格扣除</w:t>
      </w:r>
    </w:p>
    <w:p>
      <w:pPr>
        <w:numPr>
          <w:ilvl w:val="1"/>
          <w:numId w:val="23"/>
        </w:numPr>
        <w:snapToGrid w:val="0"/>
        <w:spacing w:line="360" w:lineRule="auto"/>
        <w:rPr>
          <w:rFonts w:ascii="宋体" w:hAnsi="宋体"/>
          <w:sz w:val="24"/>
        </w:rPr>
      </w:pPr>
      <w:r>
        <w:rPr>
          <w:rFonts w:ascii="宋体" w:hAnsi="宋体" w:hint="eastAsia"/>
          <w:sz w:val="24"/>
        </w:rPr>
        <w:t>拟采购产品属于节能产品政府采购品目清单规定必须强制采购的，实行强制采购。</w:t>
      </w:r>
    </w:p>
    <w:p>
      <w:pPr>
        <w:numPr>
          <w:ilvl w:val="1"/>
          <w:numId w:val="23"/>
        </w:numPr>
        <w:snapToGrid w:val="0"/>
        <w:spacing w:line="360" w:lineRule="auto"/>
        <w:rPr>
          <w:rFonts w:ascii="宋体" w:hAnsi="宋体"/>
          <w:color w:val="auto"/>
          <w:sz w:val="24"/>
        </w:rPr>
      </w:pPr>
      <w:r>
        <w:rPr>
          <w:rFonts w:ascii="宋体" w:hAnsi="宋体" w:hint="eastAsia"/>
          <w:sz w:val="24"/>
        </w:rPr>
        <w:t>本次采购产品在财政部、发展改革委、生态环境部等部门最新发布的《节能产品政府采购品目清单》或《</w:t>
      </w:r>
      <w:r>
        <w:rPr>
          <w:rFonts w:ascii="宋体" w:hAnsi="宋体"/>
          <w:sz w:val="24"/>
        </w:rPr>
        <w:t>环境标志产品</w:t>
      </w:r>
      <w:r>
        <w:rPr>
          <w:rFonts w:ascii="宋体" w:hAnsi="宋体" w:hint="eastAsia"/>
          <w:sz w:val="24"/>
        </w:rPr>
        <w:t>政府采购</w:t>
      </w:r>
      <w:r>
        <w:rPr>
          <w:rFonts w:ascii="宋体" w:hAnsi="宋体"/>
          <w:sz w:val="24"/>
        </w:rPr>
        <w:t>品目清单</w:t>
      </w:r>
      <w:r>
        <w:rPr>
          <w:rFonts w:ascii="宋体" w:hAnsi="宋体" w:hint="eastAsia"/>
          <w:sz w:val="24"/>
        </w:rPr>
        <w:t>》的清单范围内优先采购的节能产品、</w:t>
      </w:r>
      <w:r>
        <w:rPr>
          <w:rFonts w:ascii="宋体" w:hAnsi="宋体"/>
          <w:sz w:val="24"/>
        </w:rPr>
        <w:t>环</w:t>
      </w:r>
      <w:r>
        <w:rPr>
          <w:rFonts w:ascii="宋体" w:hAnsi="宋体"/>
          <w:color w:val="auto"/>
          <w:sz w:val="24"/>
        </w:rPr>
        <w:t>境标志产品类别</w:t>
      </w:r>
      <w:r>
        <w:rPr>
          <w:rFonts w:ascii="宋体" w:hAnsi="宋体" w:hint="eastAsia"/>
          <w:color w:val="auto"/>
          <w:sz w:val="24"/>
        </w:rPr>
        <w:t>，对于具有国家确定的认证机构出具的、处于有效期之内的节能产品或环境标志产品认证证书的，对节能产品或环境标志产品的价格分别给予</w:t>
      </w:r>
      <w:r>
        <w:rPr>
          <w:rFonts w:ascii="宋体" w:hAnsi="宋体" w:hint="eastAsia"/>
          <w:color w:val="auto"/>
          <w:sz w:val="24"/>
          <w:lang w:val="en-US" w:eastAsia="zh-CN"/>
        </w:rPr>
        <w:t>1</w:t>
      </w:r>
      <w:r>
        <w:rPr>
          <w:rFonts w:ascii="宋体" w:hAnsi="宋体"/>
          <w:color w:val="auto"/>
          <w:sz w:val="24"/>
        </w:rPr>
        <w:t>%</w:t>
      </w:r>
      <w:r>
        <w:rPr>
          <w:rFonts w:ascii="宋体" w:hAnsi="宋体" w:hint="eastAsia"/>
          <w:color w:val="auto"/>
          <w:sz w:val="24"/>
        </w:rPr>
        <w:t>的价格扣除。</w:t>
      </w:r>
    </w:p>
    <w:p>
      <w:pPr>
        <w:numPr>
          <w:ilvl w:val="1"/>
          <w:numId w:val="23"/>
        </w:numPr>
        <w:snapToGrid w:val="0"/>
        <w:spacing w:line="360" w:lineRule="auto"/>
        <w:rPr>
          <w:rFonts w:ascii="宋体" w:hAnsi="宋体"/>
          <w:sz w:val="24"/>
        </w:rPr>
      </w:pPr>
      <w:r>
        <w:rPr>
          <w:rFonts w:ascii="宋体" w:hAnsi="宋体" w:hint="eastAsia"/>
          <w:color w:val="auto"/>
          <w:sz w:val="24"/>
        </w:rPr>
        <w:t>属于品目清单范围内</w:t>
      </w:r>
      <w:r>
        <w:rPr>
          <w:rFonts w:ascii="宋体" w:hAnsi="宋体" w:hint="eastAsia"/>
          <w:sz w:val="24"/>
        </w:rPr>
        <w:t>的节能或环境标志产品，应当提供国家确定的认证机构出具的、处于有效期之内的节能产品或环境标志产品认证证书复印件，并加盖投标人单位的公章。</w:t>
      </w:r>
    </w:p>
    <w:p>
      <w:pPr>
        <w:snapToGrid w:val="0"/>
        <w:spacing w:line="360" w:lineRule="auto"/>
        <w:rPr>
          <w:rFonts w:ascii="宋体" w:hAnsi="宋体"/>
          <w:sz w:val="24"/>
        </w:rPr>
      </w:pPr>
    </w:p>
    <w:p>
      <w:pPr>
        <w:widowControl/>
        <w:jc w:val="center"/>
        <w:outlineLvl w:val="4"/>
        <w:rPr>
          <w:rFonts w:ascii="黑体" w:eastAsia="黑体" w:hAnsi="宋体" w:cs="宋体"/>
          <w:sz w:val="28"/>
          <w:szCs w:val="28"/>
        </w:rPr>
      </w:pPr>
      <w:r>
        <w:rPr>
          <w:rFonts w:ascii="黑体" w:eastAsia="黑体" w:hAnsi="宋体" w:cs="宋体" w:hint="eastAsia"/>
          <w:sz w:val="28"/>
          <w:szCs w:val="28"/>
        </w:rPr>
        <w:t>第二部分 政策功能说明</w:t>
      </w:r>
    </w:p>
    <w:p>
      <w:pPr>
        <w:pStyle w:val="ListParagraph"/>
        <w:numPr>
          <w:ilvl w:val="0"/>
          <w:numId w:val="24"/>
        </w:numPr>
        <w:snapToGrid w:val="0"/>
        <w:spacing w:line="360" w:lineRule="auto"/>
        <w:ind w:firstLineChars="0"/>
        <w:rPr>
          <w:rFonts w:ascii="宋体" w:hAnsi="宋体"/>
          <w:b/>
          <w:bCs/>
          <w:color w:val="000000" w:themeColor="text1"/>
          <w:sz w:val="24"/>
          <w14:textFill>
            <w14:solidFill>
              <w14:schemeClr w14:val="tx1"/>
            </w14:solidFill>
          </w14:textFill>
        </w:rPr>
      </w:pPr>
      <w:r>
        <w:rPr>
          <w:rFonts w:ascii="宋体" w:hAnsi="宋体" w:hint="eastAsia"/>
          <w:b/>
          <w:bCs/>
          <w:color w:val="000000" w:themeColor="text1"/>
          <w:sz w:val="24"/>
          <w14:textFill>
            <w14:solidFill>
              <w14:schemeClr w14:val="tx1"/>
            </w14:solidFill>
          </w14:textFill>
        </w:rPr>
        <w:t>中小企业扶持政策</w:t>
      </w:r>
    </w:p>
    <w:p>
      <w:pPr>
        <w:numPr>
          <w:ilvl w:val="1"/>
          <w:numId w:val="25"/>
        </w:numPr>
        <w:snapToGrid w:val="0"/>
        <w:spacing w:line="360" w:lineRule="auto"/>
        <w:rPr>
          <w:rFonts w:ascii="宋体" w:hAnsi="宋体"/>
          <w:color w:val="000000" w:themeColor="text1"/>
          <w:sz w:val="24"/>
          <w14:textFill>
            <w14:solidFill>
              <w14:schemeClr w14:val="tx1"/>
            </w14:solidFill>
          </w14:textFill>
        </w:rPr>
      </w:pPr>
      <w:r>
        <w:rPr>
          <w:rFonts w:ascii="宋体" w:hAnsi="宋体" w:hint="eastAsia"/>
          <w:color w:val="000000" w:themeColor="text1"/>
          <w:sz w:val="24"/>
          <w14:textFill>
            <w14:solidFill>
              <w14:schemeClr w14:val="tx1"/>
            </w14:solidFill>
          </w14:textFill>
        </w:rPr>
        <w:t>在采购活动中，供应商提供的货物、工程或者服务符合下列情形的，享受</w:t>
      </w:r>
      <w:r>
        <w:rPr>
          <w:rFonts w:ascii="宋体" w:hAnsi="宋体" w:hint="eastAsia"/>
          <w:bCs/>
          <w:color w:val="000000" w:themeColor="text1"/>
          <w:sz w:val="24"/>
          <w14:textFill>
            <w14:solidFill>
              <w14:schemeClr w14:val="tx1"/>
            </w14:solidFill>
          </w14:textFill>
        </w:rPr>
        <w:t>《政府采购促进中小企业发展管理办法》</w:t>
      </w:r>
      <w:r>
        <w:rPr>
          <w:rFonts w:ascii="宋体" w:hAnsi="宋体" w:hint="eastAsia"/>
          <w:color w:val="000000" w:themeColor="text1"/>
          <w:sz w:val="24"/>
          <w14:textFill>
            <w14:solidFill>
              <w14:schemeClr w14:val="tx1"/>
            </w14:solidFill>
          </w14:textFill>
        </w:rPr>
        <w:t>规定的中小企业扶持政策：</w:t>
      </w:r>
    </w:p>
    <w:p>
      <w:pPr>
        <w:numPr>
          <w:ilvl w:val="0"/>
          <w:numId w:val="26"/>
        </w:numPr>
        <w:snapToGrid w:val="0"/>
        <w:spacing w:line="360" w:lineRule="auto"/>
        <w:ind w:left="567"/>
        <w:rPr>
          <w:rFonts w:ascii="宋体" w:hAnsi="宋体"/>
          <w:b/>
          <w:bCs/>
          <w:color w:val="000000" w:themeColor="text1"/>
          <w:sz w:val="24"/>
          <w:u w:val="double"/>
          <w14:textFill>
            <w14:solidFill>
              <w14:schemeClr w14:val="tx1"/>
            </w14:solidFill>
          </w14:textFill>
        </w:rPr>
      </w:pPr>
      <w:r>
        <w:rPr>
          <w:rFonts w:ascii="宋体" w:hAnsi="宋体" w:hint="eastAsia"/>
          <w:b/>
          <w:bCs/>
          <w:color w:val="000000" w:themeColor="text1"/>
          <w:sz w:val="24"/>
          <w:u w:val="double"/>
          <w14:textFill>
            <w14:solidFill>
              <w14:schemeClr w14:val="tx1"/>
            </w14:solidFill>
          </w14:textFill>
        </w:rPr>
        <w:t>在货物采购项目中，货物由中小企业制造，即货物由中小企业生产且使用该中小企业商号或者注册商标；</w:t>
      </w:r>
    </w:p>
    <w:p>
      <w:pPr>
        <w:numPr>
          <w:ilvl w:val="0"/>
          <w:numId w:val="26"/>
        </w:numPr>
        <w:snapToGrid w:val="0"/>
        <w:spacing w:line="360" w:lineRule="auto"/>
        <w:ind w:left="567"/>
        <w:rPr>
          <w:rFonts w:ascii="宋体" w:hAnsi="宋体"/>
          <w:color w:val="000000" w:themeColor="text1"/>
          <w:sz w:val="24"/>
          <w14:textFill>
            <w14:solidFill>
              <w14:schemeClr w14:val="tx1"/>
            </w14:solidFill>
          </w14:textFill>
        </w:rPr>
      </w:pPr>
      <w:r>
        <w:rPr>
          <w:rFonts w:ascii="宋体" w:hAnsi="宋体" w:hint="eastAsia"/>
          <w:color w:val="000000" w:themeColor="text1"/>
          <w:sz w:val="24"/>
          <w14:textFill>
            <w14:solidFill>
              <w14:schemeClr w14:val="tx1"/>
            </w14:solidFill>
          </w14:textFill>
        </w:rPr>
        <w:t>在工程采购项目中，工程由中小企业承建，即工程施工单位为中小企业；</w:t>
      </w:r>
    </w:p>
    <w:p>
      <w:pPr>
        <w:numPr>
          <w:ilvl w:val="0"/>
          <w:numId w:val="26"/>
        </w:numPr>
        <w:snapToGrid w:val="0"/>
        <w:spacing w:line="360" w:lineRule="auto"/>
        <w:ind w:left="567"/>
        <w:rPr>
          <w:rFonts w:ascii="宋体" w:hAnsi="宋体"/>
          <w:color w:val="000000" w:themeColor="text1"/>
          <w:sz w:val="24"/>
          <w14:textFill>
            <w14:solidFill>
              <w14:schemeClr w14:val="tx1"/>
            </w14:solidFill>
          </w14:textFill>
        </w:rPr>
      </w:pPr>
      <w:r>
        <w:rPr>
          <w:rFonts w:ascii="宋体" w:hAnsi="宋体" w:hint="eastAsia"/>
          <w:color w:val="000000" w:themeColor="text1"/>
          <w:sz w:val="24"/>
          <w14:textFill>
            <w14:solidFill>
              <w14:schemeClr w14:val="tx1"/>
            </w14:solidFill>
          </w14:textFill>
        </w:rPr>
        <w:t>在服务采购项目中，服务由中小企业承接，即提供服务的人员为中小企业依照《中华人民共和国劳动合同法》订立劳动合同的从业人员。</w:t>
      </w:r>
    </w:p>
    <w:p>
      <w:pPr>
        <w:snapToGrid w:val="0"/>
        <w:spacing w:line="360" w:lineRule="auto"/>
        <w:ind w:firstLine="372" w:firstLineChars="177"/>
        <w:rPr>
          <w:rFonts w:ascii="宋体" w:hAnsi="宋体"/>
          <w:color w:val="000000" w:themeColor="text1"/>
          <w:sz w:val="24"/>
          <w14:textFill>
            <w14:solidFill>
              <w14:schemeClr w14:val="tx1"/>
            </w14:solidFill>
          </w14:textFill>
        </w:rPr>
      </w:pPr>
      <w:r>
        <w:rPr>
          <w:rFonts w:ascii="宋体" w:hAnsi="宋体" w:hint="eastAsia"/>
          <w:color w:val="000000" w:themeColor="text1"/>
          <w:sz w:val="24"/>
          <w14:textFill>
            <w14:solidFill>
              <w14:schemeClr w14:val="tx1"/>
            </w14:solidFill>
          </w14:textFill>
        </w:rPr>
        <w:t>在货物采购项目中，供应商提供的货物既有中小企业制造货物，也有大型企业制造货物的，不享受本办法规定的中小企业扶持政策。</w:t>
      </w:r>
    </w:p>
    <w:p>
      <w:pPr>
        <w:snapToGrid w:val="0"/>
        <w:spacing w:line="360" w:lineRule="auto"/>
        <w:ind w:firstLine="372" w:firstLineChars="177"/>
        <w:rPr>
          <w:rFonts w:ascii="宋体" w:hAnsi="宋体"/>
          <w:bCs/>
          <w:color w:val="000000" w:themeColor="text1"/>
          <w:sz w:val="24"/>
          <w14:textFill>
            <w14:solidFill>
              <w14:schemeClr w14:val="tx1"/>
            </w14:solidFill>
          </w14:textFill>
        </w:rPr>
      </w:pPr>
      <w:r>
        <w:rPr>
          <w:rFonts w:ascii="宋体" w:hAnsi="宋体" w:hint="eastAsia"/>
          <w:color w:val="000000" w:themeColor="text1"/>
          <w:sz w:val="24"/>
          <w14:textFill>
            <w14:solidFill>
              <w14:schemeClr w14:val="tx1"/>
            </w14:solidFill>
          </w14:textFill>
        </w:rPr>
        <w:t>以联合体形式参加政府采购活动，联合体各方均为中小企业的，联合体视同中小企业。其中，联合体各方均为小微企业的，联合体视同小微企业。</w:t>
      </w:r>
    </w:p>
    <w:p>
      <w:pPr>
        <w:numPr>
          <w:ilvl w:val="1"/>
          <w:numId w:val="25"/>
        </w:numPr>
        <w:snapToGrid w:val="0"/>
        <w:spacing w:line="360" w:lineRule="auto"/>
        <w:rPr>
          <w:rFonts w:ascii="宋体" w:hAnsi="宋体"/>
          <w:b/>
          <w:bCs/>
          <w:color w:val="000000" w:themeColor="text1"/>
          <w:sz w:val="24"/>
          <w14:textFill>
            <w14:solidFill>
              <w14:schemeClr w14:val="tx1"/>
            </w14:solidFill>
          </w14:textFill>
        </w:rPr>
      </w:pPr>
      <w:r>
        <w:rPr>
          <w:rFonts w:ascii="宋体" w:hAnsi="宋体" w:hint="eastAsia"/>
          <w:color w:val="000000" w:themeColor="text1"/>
          <w:sz w:val="24"/>
          <w14:textFill>
            <w14:solidFill>
              <w14:schemeClr w14:val="tx1"/>
            </w14:solidFill>
          </w14:textFill>
        </w:rPr>
        <w:t>参加</w:t>
      </w:r>
      <w:r>
        <w:rPr>
          <w:rFonts w:ascii="宋体" w:hAnsi="宋体" w:hint="eastAsia"/>
          <w:bCs/>
          <w:color w:val="000000" w:themeColor="text1"/>
          <w:sz w:val="24"/>
          <w14:textFill>
            <w14:solidFill>
              <w14:schemeClr w14:val="tx1"/>
            </w14:solidFill>
          </w14:textFill>
        </w:rPr>
        <w:t>政府采购活动的中小企业应当提供《中小企业声明函》（格式见第六章投标文件格式）</w:t>
      </w:r>
      <w:r>
        <w:rPr>
          <w:rFonts w:ascii="宋体" w:hAnsi="宋体" w:hint="eastAsia"/>
          <w:color w:val="000000" w:themeColor="text1"/>
          <w:sz w:val="24"/>
          <w14:textFill>
            <w14:solidFill>
              <w14:schemeClr w14:val="tx1"/>
            </w14:solidFill>
          </w14:textFill>
        </w:rPr>
        <w:t>。</w:t>
      </w:r>
    </w:p>
    <w:p>
      <w:pPr>
        <w:numPr>
          <w:ilvl w:val="1"/>
          <w:numId w:val="25"/>
        </w:numPr>
        <w:snapToGrid w:val="0"/>
        <w:spacing w:line="360" w:lineRule="auto"/>
        <w:rPr>
          <w:rFonts w:ascii="宋体" w:hAnsi="宋体"/>
          <w:color w:val="000000" w:themeColor="text1"/>
          <w:sz w:val="24"/>
          <w14:textFill>
            <w14:solidFill>
              <w14:schemeClr w14:val="tx1"/>
            </w14:solidFill>
          </w14:textFill>
        </w:rPr>
      </w:pPr>
      <w:r>
        <w:rPr>
          <w:rFonts w:ascii="宋体" w:hAnsi="宋体" w:hint="eastAsia"/>
          <w:color w:val="000000" w:themeColor="text1"/>
          <w:sz w:val="24"/>
          <w14:textFill>
            <w14:solidFill>
              <w14:schemeClr w14:val="tx1"/>
            </w14:solidFill>
          </w14:textFill>
        </w:rPr>
        <w:t>享受扶持政策获得政府采购合同的，小微企业不得将合同分包给大中型企业，中型企业不得将合同分包给大型企业；</w:t>
      </w:r>
    </w:p>
    <w:p>
      <w:pPr>
        <w:numPr>
          <w:ilvl w:val="1"/>
          <w:numId w:val="25"/>
        </w:numPr>
        <w:snapToGrid w:val="0"/>
        <w:spacing w:line="360" w:lineRule="auto"/>
        <w:rPr>
          <w:rFonts w:ascii="宋体" w:hAnsi="宋体"/>
          <w:color w:val="000000" w:themeColor="text1"/>
          <w:sz w:val="24"/>
          <w14:textFill>
            <w14:solidFill>
              <w14:schemeClr w14:val="tx1"/>
            </w14:solidFill>
          </w14:textFill>
        </w:rPr>
      </w:pPr>
      <w:r>
        <w:rPr>
          <w:rFonts w:ascii="宋体" w:hAnsi="宋体" w:hint="eastAsia"/>
          <w:color w:val="000000" w:themeColor="text1"/>
          <w:sz w:val="24"/>
          <w14:textFill>
            <w14:solidFill>
              <w14:schemeClr w14:val="tx1"/>
            </w14:solidFill>
          </w14:textFill>
        </w:rPr>
        <w:t>监狱企业</w:t>
      </w:r>
    </w:p>
    <w:p>
      <w:pPr>
        <w:numPr>
          <w:ilvl w:val="2"/>
          <w:numId w:val="25"/>
        </w:numPr>
        <w:snapToGrid w:val="0"/>
        <w:spacing w:line="360" w:lineRule="auto"/>
        <w:ind w:left="567" w:hanging="567"/>
        <w:rPr>
          <w:rFonts w:ascii="宋体" w:hAnsi="宋体"/>
          <w:color w:val="000000" w:themeColor="text1"/>
          <w:sz w:val="24"/>
          <w14:textFill>
            <w14:solidFill>
              <w14:schemeClr w14:val="tx1"/>
            </w14:solidFill>
          </w14:textFill>
        </w:rPr>
      </w:pPr>
      <w:r>
        <w:rPr>
          <w:rFonts w:ascii="宋体" w:hAnsi="宋体" w:hint="eastAsia"/>
          <w:color w:val="000000" w:themeColor="text1"/>
          <w:sz w:val="24"/>
          <w14:textFill>
            <w14:solidFill>
              <w14:schemeClr w14:val="tx1"/>
            </w14:solidFill>
          </w14:textFill>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numPr>
          <w:ilvl w:val="2"/>
          <w:numId w:val="25"/>
        </w:numPr>
        <w:snapToGrid w:val="0"/>
        <w:spacing w:line="360" w:lineRule="auto"/>
        <w:ind w:left="567" w:hanging="567"/>
        <w:rPr>
          <w:rFonts w:ascii="宋体" w:hAnsi="宋体"/>
          <w:b/>
          <w:bCs/>
          <w:color w:val="000000" w:themeColor="text1"/>
          <w:sz w:val="24"/>
          <w14:textFill>
            <w14:solidFill>
              <w14:schemeClr w14:val="tx1"/>
            </w14:solidFill>
          </w14:textFill>
        </w:rPr>
      </w:pPr>
      <w:r>
        <w:rPr>
          <w:rFonts w:ascii="宋体" w:hAnsi="宋体" w:hint="eastAsia"/>
          <w:color w:val="000000" w:themeColor="text1"/>
          <w:sz w:val="24"/>
          <w14:textFill>
            <w14:solidFill>
              <w14:schemeClr w14:val="tx1"/>
            </w14:solidFill>
          </w14:textFill>
        </w:rPr>
        <w:t>监狱企业参加政府采购活动时，应当提供由省级以上监狱管理局、戒毒管理局（含新疆生产建设兵团）出具的属于监狱企业的证明文件，</w:t>
      </w:r>
      <w:r>
        <w:rPr>
          <w:rFonts w:ascii="宋体" w:hAnsi="宋体" w:cs="宋体" w:hint="eastAsia"/>
          <w:color w:val="000000" w:themeColor="text1"/>
          <w:sz w:val="24"/>
          <w14:textFill>
            <w14:solidFill>
              <w14:schemeClr w14:val="tx1"/>
            </w14:solidFill>
          </w14:textFill>
        </w:rPr>
        <w:t>否则不予认可</w:t>
      </w:r>
      <w:r>
        <w:rPr>
          <w:rFonts w:ascii="宋体" w:hAnsi="宋体" w:hint="eastAsia"/>
          <w:color w:val="000000" w:themeColor="text1"/>
          <w:sz w:val="24"/>
          <w14:textFill>
            <w14:solidFill>
              <w14:schemeClr w14:val="tx1"/>
            </w14:solidFill>
          </w14:textFill>
        </w:rPr>
        <w:t>。</w:t>
      </w:r>
    </w:p>
    <w:p>
      <w:pPr>
        <w:numPr>
          <w:ilvl w:val="2"/>
          <w:numId w:val="25"/>
        </w:numPr>
        <w:snapToGrid w:val="0"/>
        <w:spacing w:line="360" w:lineRule="auto"/>
        <w:ind w:left="567" w:hanging="567"/>
        <w:rPr>
          <w:rFonts w:ascii="宋体" w:hAnsi="宋体"/>
          <w:color w:val="000000" w:themeColor="text1"/>
          <w:sz w:val="24"/>
          <w14:textFill>
            <w14:solidFill>
              <w14:schemeClr w14:val="tx1"/>
            </w14:solidFill>
          </w14:textFill>
        </w:rPr>
      </w:pPr>
      <w:r>
        <w:rPr>
          <w:rFonts w:ascii="宋体" w:hAnsi="宋体" w:hint="eastAsia"/>
          <w:color w:val="000000" w:themeColor="text1"/>
          <w:sz w:val="24"/>
          <w14:textFill>
            <w14:solidFill>
              <w14:schemeClr w14:val="tx1"/>
            </w14:solidFill>
          </w14:textFill>
        </w:rPr>
        <w:t>在政府采购活动中，监狱企业视同小型、微型企业，享受预留份额、评审中价格扣除等政府采购促进中小企业发展的政府采购政策。</w:t>
      </w:r>
    </w:p>
    <w:p>
      <w:pPr>
        <w:numPr>
          <w:ilvl w:val="1"/>
          <w:numId w:val="25"/>
        </w:numPr>
        <w:snapToGrid w:val="0"/>
        <w:spacing w:line="360" w:lineRule="auto"/>
        <w:rPr>
          <w:rFonts w:ascii="宋体" w:hAnsi="宋体"/>
          <w:color w:val="000000" w:themeColor="text1"/>
          <w:sz w:val="24"/>
          <w14:textFill>
            <w14:solidFill>
              <w14:schemeClr w14:val="tx1"/>
            </w14:solidFill>
          </w14:textFill>
        </w:rPr>
      </w:pPr>
      <w:r>
        <w:rPr>
          <w:rFonts w:ascii="宋体" w:hAnsi="宋体" w:hint="eastAsia"/>
          <w:color w:val="000000" w:themeColor="text1"/>
          <w:sz w:val="24"/>
          <w14:textFill>
            <w14:solidFill>
              <w14:schemeClr w14:val="tx1"/>
            </w14:solidFill>
          </w14:textFill>
        </w:rPr>
        <w:t>残疾人福利性单位</w:t>
      </w:r>
    </w:p>
    <w:p>
      <w:pPr>
        <w:numPr>
          <w:ilvl w:val="2"/>
          <w:numId w:val="25"/>
        </w:numPr>
        <w:snapToGrid w:val="0"/>
        <w:spacing w:line="360" w:lineRule="auto"/>
        <w:ind w:left="567" w:hanging="567"/>
        <w:rPr>
          <w:rFonts w:ascii="宋体" w:hAnsi="宋体"/>
          <w:color w:val="000000" w:themeColor="text1"/>
          <w:sz w:val="24"/>
          <w14:textFill>
            <w14:solidFill>
              <w14:schemeClr w14:val="tx1"/>
            </w14:solidFill>
          </w14:textFill>
        </w:rPr>
      </w:pPr>
      <w:r>
        <w:rPr>
          <w:rFonts w:ascii="宋体" w:hAnsi="宋体" w:hint="eastAsia"/>
          <w:bCs/>
          <w:color w:val="000000" w:themeColor="text1"/>
          <w:sz w:val="24"/>
          <w14:textFill>
            <w14:solidFill>
              <w14:schemeClr w14:val="tx1"/>
            </w14:solidFill>
          </w14:textFill>
        </w:rPr>
        <w:t>根据财政部、民政部、中国残疾人联合会印发的《关于促进残疾人就业政府采购政策的通知》（财库〔2017〕141号）的规定，符合条件的残疾人福利性单位在参加政府采购活动时，应当提供该通知规定的《残疾人福利性单位声明函》（格式见第六章投标文件格式），并对</w:t>
      </w:r>
      <w:r>
        <w:rPr>
          <w:rFonts w:ascii="宋体" w:hAnsi="宋体" w:hint="eastAsia"/>
          <w:color w:val="000000" w:themeColor="text1"/>
          <w:sz w:val="24"/>
          <w14:textFill>
            <w14:solidFill>
              <w14:schemeClr w14:val="tx1"/>
            </w14:solidFill>
          </w14:textFill>
        </w:rPr>
        <w:t>声明的真实性负责。一旦中标将在中标公告中公告其声明函，接受社会监督。投标人提供的《残疾人福利性单位声明函》与事实不符的，依照《</w:t>
      </w:r>
      <w:r>
        <w:rPr>
          <w:rFonts w:ascii="宋体" w:hAnsi="宋体" w:hint="eastAsia"/>
          <w:bCs/>
          <w:color w:val="000000" w:themeColor="text1"/>
          <w:sz w:val="24"/>
          <w14:textFill>
            <w14:solidFill>
              <w14:schemeClr w14:val="tx1"/>
            </w14:solidFill>
          </w14:textFill>
        </w:rPr>
        <w:t>中华人民共和国政府采购法</w:t>
      </w:r>
      <w:r>
        <w:rPr>
          <w:rFonts w:ascii="宋体" w:hAnsi="宋体" w:hint="eastAsia"/>
          <w:color w:val="000000" w:themeColor="text1"/>
          <w:sz w:val="24"/>
          <w14:textFill>
            <w14:solidFill>
              <w14:schemeClr w14:val="tx1"/>
            </w14:solidFill>
          </w14:textFill>
        </w:rPr>
        <w:t>》第七十七条第一款的规定追究法律责任。</w:t>
      </w:r>
    </w:p>
    <w:p>
      <w:pPr>
        <w:numPr>
          <w:ilvl w:val="2"/>
          <w:numId w:val="25"/>
        </w:numPr>
        <w:snapToGrid w:val="0"/>
        <w:spacing w:line="360" w:lineRule="auto"/>
        <w:ind w:left="567" w:hanging="567"/>
        <w:rPr>
          <w:rFonts w:ascii="宋体" w:hAnsi="宋体"/>
          <w:bCs/>
          <w:color w:val="000000" w:themeColor="text1"/>
          <w:sz w:val="24"/>
          <w14:textFill>
            <w14:solidFill>
              <w14:schemeClr w14:val="tx1"/>
            </w14:solidFill>
          </w14:textFill>
        </w:rPr>
      </w:pPr>
      <w:r>
        <w:rPr>
          <w:rFonts w:ascii="宋体" w:hAnsi="宋体" w:hint="eastAsia"/>
          <w:bCs/>
          <w:color w:val="000000" w:themeColor="text1"/>
          <w:sz w:val="24"/>
          <w14:textFill>
            <w14:solidFill>
              <w14:schemeClr w14:val="tx1"/>
            </w14:solidFill>
          </w14:textFill>
        </w:rPr>
        <w:t>在政府采购活动中，残疾人福利性单位视同小型、微型企业，享受预留份额、评审中价格扣除等促进中小企业发展的政府采购政策。</w:t>
      </w:r>
    </w:p>
    <w:p>
      <w:pPr>
        <w:pStyle w:val="ListParagraph"/>
        <w:widowControl/>
        <w:ind w:left="425" w:firstLine="0" w:firstLineChars="0"/>
        <w:jc w:val="center"/>
        <w:rPr>
          <w:rFonts w:ascii="黑体" w:eastAsia="黑体" w:hAnsi="宋体" w:cs="宋体"/>
          <w:sz w:val="28"/>
          <w:szCs w:val="28"/>
        </w:rPr>
      </w:pPr>
    </w:p>
    <w:p>
      <w:pPr>
        <w:pStyle w:val="ListParagraph"/>
        <w:numPr>
          <w:ilvl w:val="0"/>
          <w:numId w:val="24"/>
        </w:numPr>
        <w:snapToGrid w:val="0"/>
        <w:spacing w:line="360" w:lineRule="auto"/>
        <w:ind w:firstLineChars="0"/>
        <w:rPr>
          <w:rFonts w:ascii="宋体" w:hAnsi="宋体"/>
          <w:b/>
          <w:bCs/>
          <w:color w:val="000000" w:themeColor="text1"/>
          <w:sz w:val="24"/>
          <w14:textFill>
            <w14:solidFill>
              <w14:schemeClr w14:val="tx1"/>
            </w14:solidFill>
          </w14:textFill>
        </w:rPr>
      </w:pPr>
      <w:r>
        <w:rPr>
          <w:rFonts w:ascii="宋体" w:hAnsi="宋体" w:hint="eastAsia"/>
          <w:b/>
          <w:bCs/>
          <w:color w:val="000000" w:themeColor="text1"/>
          <w:sz w:val="24"/>
          <w14:textFill>
            <w14:solidFill>
              <w14:schemeClr w14:val="tx1"/>
            </w14:solidFill>
          </w14:textFill>
        </w:rPr>
        <w:t>商品包装和快递包装</w:t>
      </w:r>
    </w:p>
    <w:p>
      <w:pPr>
        <w:snapToGrid w:val="0"/>
        <w:spacing w:line="360" w:lineRule="auto"/>
        <w:rPr>
          <w:rFonts w:asciiTheme="minorEastAsia" w:eastAsiaTheme="minorEastAsia" w:hAnsiTheme="minorEastAsia" w:cstheme="minorBidi"/>
          <w:sz w:val="24"/>
        </w:rPr>
      </w:pPr>
      <w:r>
        <w:rPr>
          <w:rFonts w:asciiTheme="minorEastAsia" w:eastAsiaTheme="minorEastAsia" w:hAnsiTheme="minorEastAsia" w:cstheme="minorBidi" w:hint="eastAsia"/>
          <w:sz w:val="24"/>
        </w:rPr>
        <w:t>本项目如涉及商品包装、快递包装，应当满足以下要求：</w:t>
      </w:r>
    </w:p>
    <w:p>
      <w:pPr>
        <w:numPr>
          <w:ilvl w:val="0"/>
          <w:numId w:val="27"/>
        </w:numPr>
        <w:snapToGrid w:val="0"/>
        <w:spacing w:line="360" w:lineRule="auto"/>
        <w:rPr>
          <w:rFonts w:asciiTheme="minorEastAsia" w:eastAsiaTheme="minorEastAsia" w:hAnsiTheme="minorEastAsia" w:cstheme="minorBidi"/>
          <w:sz w:val="24"/>
        </w:rPr>
      </w:pPr>
      <w:r>
        <w:rPr>
          <w:rFonts w:asciiTheme="minorEastAsia" w:eastAsiaTheme="minorEastAsia" w:hAnsiTheme="minorEastAsia" w:cstheme="minorBidi"/>
          <w:sz w:val="24"/>
        </w:rPr>
        <w:t>商品包装环保要求</w:t>
      </w:r>
    </w:p>
    <w:p>
      <w:pPr>
        <w:numPr>
          <w:ilvl w:val="1"/>
          <w:numId w:val="28"/>
        </w:numPr>
        <w:snapToGrid w:val="0"/>
        <w:spacing w:line="360" w:lineRule="auto"/>
        <w:rPr>
          <w:rFonts w:asciiTheme="minorEastAsia" w:eastAsiaTheme="minorEastAsia" w:hAnsiTheme="minorEastAsia" w:cstheme="minorBidi"/>
          <w:sz w:val="24"/>
        </w:rPr>
      </w:pPr>
      <w:r>
        <w:rPr>
          <w:rFonts w:asciiTheme="minorEastAsia" w:eastAsiaTheme="minorEastAsia" w:hAnsiTheme="minorEastAsia" w:cstheme="minorBidi"/>
          <w:sz w:val="24"/>
        </w:rPr>
        <w:t>商品包装层数不得超过3层，空隙率不大于40%；</w:t>
      </w:r>
    </w:p>
    <w:p>
      <w:pPr>
        <w:numPr>
          <w:ilvl w:val="1"/>
          <w:numId w:val="28"/>
        </w:numPr>
        <w:snapToGrid w:val="0"/>
        <w:spacing w:line="360" w:lineRule="auto"/>
        <w:rPr>
          <w:rFonts w:asciiTheme="minorEastAsia" w:eastAsiaTheme="minorEastAsia" w:hAnsiTheme="minorEastAsia" w:cstheme="minorBidi"/>
          <w:sz w:val="24"/>
        </w:rPr>
      </w:pPr>
      <w:r>
        <w:rPr>
          <w:rFonts w:asciiTheme="minorEastAsia" w:eastAsiaTheme="minorEastAsia" w:hAnsiTheme="minorEastAsia" w:cstheme="minorBidi"/>
          <w:sz w:val="24"/>
        </w:rPr>
        <w:t>商品包装尽可能使用单一材质的包装材料，如因功能需求必需使用不同材质，不同材质间应便于分离；</w:t>
      </w:r>
    </w:p>
    <w:p>
      <w:pPr>
        <w:numPr>
          <w:ilvl w:val="1"/>
          <w:numId w:val="28"/>
        </w:numPr>
        <w:snapToGrid w:val="0"/>
        <w:spacing w:line="360" w:lineRule="auto"/>
        <w:rPr>
          <w:rFonts w:asciiTheme="minorEastAsia" w:eastAsiaTheme="minorEastAsia" w:hAnsiTheme="minorEastAsia" w:cstheme="minorBidi"/>
          <w:sz w:val="24"/>
        </w:rPr>
      </w:pPr>
      <w:r>
        <w:rPr>
          <w:rFonts w:asciiTheme="minorEastAsia" w:eastAsiaTheme="minorEastAsia" w:hAnsiTheme="minorEastAsia" w:cstheme="minorBidi"/>
          <w:sz w:val="24"/>
        </w:rPr>
        <w:t>商品包装中铅、汞、镉、六价铬的总含量应不大于100mg/kg；</w:t>
      </w:r>
      <w:r>
        <w:rPr>
          <w:rFonts w:asciiTheme="minorEastAsia" w:eastAsiaTheme="minorEastAsia" w:hAnsiTheme="minorEastAsia" w:cstheme="minorBidi" w:hint="eastAsia"/>
          <w:sz w:val="24"/>
        </w:rPr>
        <w:t>（必要时，采购人可要求履约验收时提供第三方检测机构出具的检测报告复印件）</w:t>
      </w:r>
    </w:p>
    <w:p>
      <w:pPr>
        <w:numPr>
          <w:ilvl w:val="1"/>
          <w:numId w:val="28"/>
        </w:numPr>
        <w:snapToGrid w:val="0"/>
        <w:spacing w:line="360" w:lineRule="auto"/>
        <w:rPr>
          <w:rFonts w:asciiTheme="minorEastAsia" w:eastAsiaTheme="minorEastAsia" w:hAnsiTheme="minorEastAsia" w:cstheme="minorBidi"/>
          <w:sz w:val="24"/>
        </w:rPr>
      </w:pPr>
      <w:r>
        <w:rPr>
          <w:rFonts w:asciiTheme="minorEastAsia" w:eastAsiaTheme="minorEastAsia" w:hAnsiTheme="minorEastAsia" w:cstheme="minorBidi"/>
          <w:sz w:val="24"/>
        </w:rPr>
        <w:t>商品包装印刷使用的油墨中挥发性有机化合物(VOCs)含量应不大于5%（以重量计）；</w:t>
      </w:r>
      <w:r>
        <w:rPr>
          <w:rFonts w:asciiTheme="minorEastAsia" w:eastAsiaTheme="minorEastAsia" w:hAnsiTheme="minorEastAsia" w:cstheme="minorBidi" w:hint="eastAsia"/>
          <w:sz w:val="24"/>
        </w:rPr>
        <w:t>（必要时，采购人可要求履约验收时提供第三方检测机构出具的检测报告复印件）</w:t>
      </w:r>
    </w:p>
    <w:p>
      <w:pPr>
        <w:numPr>
          <w:ilvl w:val="1"/>
          <w:numId w:val="28"/>
        </w:numPr>
        <w:snapToGrid w:val="0"/>
        <w:spacing w:line="360" w:lineRule="auto"/>
        <w:rPr>
          <w:rFonts w:asciiTheme="minorEastAsia" w:eastAsiaTheme="minorEastAsia" w:hAnsiTheme="minorEastAsia" w:cstheme="minorBidi"/>
          <w:sz w:val="24"/>
        </w:rPr>
      </w:pPr>
      <w:r>
        <w:rPr>
          <w:rFonts w:asciiTheme="minorEastAsia" w:eastAsiaTheme="minorEastAsia" w:hAnsiTheme="minorEastAsia" w:cstheme="minorBidi"/>
          <w:sz w:val="24"/>
        </w:rPr>
        <w:t>塑料材质商品包装上呈现的印刷颜色不得超过6色；</w:t>
      </w:r>
    </w:p>
    <w:p>
      <w:pPr>
        <w:numPr>
          <w:ilvl w:val="1"/>
          <w:numId w:val="28"/>
        </w:numPr>
        <w:snapToGrid w:val="0"/>
        <w:spacing w:line="360" w:lineRule="auto"/>
        <w:rPr>
          <w:rFonts w:asciiTheme="minorEastAsia" w:eastAsiaTheme="minorEastAsia" w:hAnsiTheme="minorEastAsia" w:cstheme="minorBidi"/>
          <w:sz w:val="24"/>
        </w:rPr>
      </w:pPr>
      <w:r>
        <w:rPr>
          <w:rFonts w:asciiTheme="minorEastAsia" w:eastAsiaTheme="minorEastAsia" w:hAnsiTheme="minorEastAsia" w:cstheme="minorBidi"/>
          <w:sz w:val="24"/>
        </w:rPr>
        <w:t>纸质商品包装应使用75%以上的可再生纤维原料生产；</w:t>
      </w:r>
    </w:p>
    <w:p>
      <w:pPr>
        <w:numPr>
          <w:ilvl w:val="1"/>
          <w:numId w:val="28"/>
        </w:numPr>
        <w:snapToGrid w:val="0"/>
        <w:spacing w:line="360" w:lineRule="auto"/>
        <w:rPr>
          <w:rFonts w:asciiTheme="minorEastAsia" w:eastAsiaTheme="minorEastAsia" w:hAnsiTheme="minorEastAsia" w:cstheme="minorBidi"/>
          <w:sz w:val="24"/>
        </w:rPr>
      </w:pPr>
      <w:r>
        <w:rPr>
          <w:rFonts w:asciiTheme="minorEastAsia" w:eastAsiaTheme="minorEastAsia" w:hAnsiTheme="minorEastAsia" w:cstheme="minorBidi"/>
          <w:sz w:val="24"/>
        </w:rPr>
        <w:t>木质商品包装的原料应来源于可持续性森林。</w:t>
      </w:r>
    </w:p>
    <w:p>
      <w:pPr>
        <w:numPr>
          <w:ilvl w:val="0"/>
          <w:numId w:val="27"/>
        </w:numPr>
        <w:snapToGrid w:val="0"/>
        <w:spacing w:line="360" w:lineRule="auto"/>
        <w:rPr>
          <w:rFonts w:asciiTheme="minorEastAsia" w:eastAsiaTheme="minorEastAsia" w:hAnsiTheme="minorEastAsia" w:cstheme="minorBidi"/>
          <w:sz w:val="24"/>
        </w:rPr>
      </w:pPr>
      <w:r>
        <w:rPr>
          <w:rFonts w:asciiTheme="minorEastAsia" w:eastAsiaTheme="minorEastAsia" w:hAnsiTheme="minorEastAsia" w:cstheme="minorBidi"/>
          <w:sz w:val="24"/>
        </w:rPr>
        <w:t>商品包装检测方法</w:t>
      </w:r>
    </w:p>
    <w:p>
      <w:pPr>
        <w:numPr>
          <w:ilvl w:val="1"/>
          <w:numId w:val="29"/>
        </w:numPr>
        <w:snapToGrid w:val="0"/>
        <w:spacing w:line="360" w:lineRule="auto"/>
        <w:rPr>
          <w:rFonts w:asciiTheme="minorEastAsia" w:eastAsiaTheme="minorEastAsia" w:hAnsiTheme="minorEastAsia" w:cstheme="minorBidi"/>
          <w:sz w:val="24"/>
        </w:rPr>
      </w:pPr>
      <w:r>
        <w:rPr>
          <w:rFonts w:asciiTheme="minorEastAsia" w:eastAsiaTheme="minorEastAsia" w:hAnsiTheme="minorEastAsia" w:cstheme="minorBidi"/>
          <w:sz w:val="24"/>
        </w:rPr>
        <w:t>商品包装中重金属（铅、汞、镉、六价铬）总量的检测按照GB/T10004-2008《包装用塑料复合膜、袋干法复合、挤出复合》规定的方法进行。</w:t>
      </w:r>
    </w:p>
    <w:p>
      <w:pPr>
        <w:numPr>
          <w:ilvl w:val="1"/>
          <w:numId w:val="29"/>
        </w:numPr>
        <w:snapToGrid w:val="0"/>
        <w:spacing w:line="360" w:lineRule="auto"/>
        <w:rPr>
          <w:rFonts w:asciiTheme="minorEastAsia" w:eastAsiaTheme="minorEastAsia" w:hAnsiTheme="minorEastAsia" w:cstheme="minorBidi"/>
          <w:sz w:val="24"/>
        </w:rPr>
      </w:pPr>
      <w:r>
        <w:rPr>
          <w:rFonts w:asciiTheme="minorEastAsia" w:eastAsiaTheme="minorEastAsia" w:hAnsiTheme="minorEastAsia" w:cstheme="minorBidi"/>
          <w:sz w:val="24"/>
        </w:rPr>
        <w:t>商品包装印刷使用的油墨中挥发性有机化合物(VOCs)的检测按照GB/T23986-2009《色漆和清漆挥发性有机化合物(VOC)含量的测定气相色谱法》规定的方法进行。</w:t>
      </w:r>
    </w:p>
    <w:p>
      <w:pPr>
        <w:numPr>
          <w:ilvl w:val="0"/>
          <w:numId w:val="27"/>
        </w:numPr>
        <w:snapToGrid w:val="0"/>
        <w:spacing w:line="360" w:lineRule="auto"/>
        <w:rPr>
          <w:rFonts w:asciiTheme="minorEastAsia" w:eastAsiaTheme="minorEastAsia" w:hAnsiTheme="minorEastAsia" w:cstheme="minorBidi"/>
          <w:sz w:val="24"/>
        </w:rPr>
      </w:pPr>
      <w:r>
        <w:rPr>
          <w:rFonts w:asciiTheme="minorEastAsia" w:eastAsiaTheme="minorEastAsia" w:hAnsiTheme="minorEastAsia" w:cstheme="minorBidi"/>
          <w:sz w:val="24"/>
        </w:rPr>
        <w:t>快递包装环保要求</w:t>
      </w:r>
    </w:p>
    <w:p>
      <w:pPr>
        <w:numPr>
          <w:ilvl w:val="1"/>
          <w:numId w:val="30"/>
        </w:numPr>
        <w:snapToGrid w:val="0"/>
        <w:spacing w:line="360" w:lineRule="auto"/>
        <w:rPr>
          <w:rFonts w:asciiTheme="minorEastAsia" w:eastAsiaTheme="minorEastAsia" w:hAnsiTheme="minorEastAsia" w:cstheme="minorBidi"/>
          <w:sz w:val="24"/>
        </w:rPr>
      </w:pPr>
      <w:r>
        <w:rPr>
          <w:rFonts w:asciiTheme="minorEastAsia" w:eastAsiaTheme="minorEastAsia" w:hAnsiTheme="minorEastAsia" w:cstheme="minorBidi"/>
          <w:sz w:val="24"/>
        </w:rPr>
        <w:t>快递包装中重金属（铅、汞、镉、六价铬）总量应不大于100mg/kg；</w:t>
      </w:r>
      <w:r>
        <w:rPr>
          <w:rFonts w:asciiTheme="minorEastAsia" w:eastAsiaTheme="minorEastAsia" w:hAnsiTheme="minorEastAsia" w:cstheme="minorBidi" w:hint="eastAsia"/>
          <w:sz w:val="24"/>
        </w:rPr>
        <w:t>（必要时，采购人可要求履约验收时提供第三方检测机构出具的检测报告复印件）</w:t>
      </w:r>
    </w:p>
    <w:p>
      <w:pPr>
        <w:numPr>
          <w:ilvl w:val="1"/>
          <w:numId w:val="30"/>
        </w:numPr>
        <w:snapToGrid w:val="0"/>
        <w:spacing w:line="360" w:lineRule="auto"/>
        <w:rPr>
          <w:rFonts w:asciiTheme="minorEastAsia" w:eastAsiaTheme="minorEastAsia" w:hAnsiTheme="minorEastAsia" w:cstheme="minorBidi"/>
          <w:sz w:val="24"/>
        </w:rPr>
      </w:pPr>
      <w:r>
        <w:rPr>
          <w:rFonts w:asciiTheme="minorEastAsia" w:eastAsiaTheme="minorEastAsia" w:hAnsiTheme="minorEastAsia" w:cstheme="minorBidi"/>
          <w:sz w:val="24"/>
        </w:rPr>
        <w:t>快递包装印刷使用的油墨中不应添加邻苯二甲酸酯，其挥发性有机化合物(VOCs)含量应不大于5%（以重量计）；</w:t>
      </w:r>
      <w:r>
        <w:rPr>
          <w:rFonts w:asciiTheme="minorEastAsia" w:eastAsiaTheme="minorEastAsia" w:hAnsiTheme="minorEastAsia" w:cstheme="minorBidi" w:hint="eastAsia"/>
          <w:sz w:val="24"/>
        </w:rPr>
        <w:t>（必要时，采购人可要求履约验收时提供第三方检测机构出具的检测报告复印件）</w:t>
      </w:r>
    </w:p>
    <w:p>
      <w:pPr>
        <w:numPr>
          <w:ilvl w:val="1"/>
          <w:numId w:val="30"/>
        </w:numPr>
        <w:snapToGrid w:val="0"/>
        <w:spacing w:line="360" w:lineRule="auto"/>
        <w:rPr>
          <w:rFonts w:asciiTheme="minorEastAsia" w:eastAsiaTheme="minorEastAsia" w:hAnsiTheme="minorEastAsia" w:cstheme="minorBidi"/>
          <w:sz w:val="24"/>
        </w:rPr>
      </w:pPr>
      <w:r>
        <w:rPr>
          <w:rFonts w:asciiTheme="minorEastAsia" w:eastAsiaTheme="minorEastAsia" w:hAnsiTheme="minorEastAsia" w:cstheme="minorBidi"/>
          <w:sz w:val="24"/>
        </w:rPr>
        <w:t>快递包装中使用纸基材的包装材料，纸基材中的有机氯的含量应不大于150mg/kg；</w:t>
      </w:r>
      <w:r>
        <w:rPr>
          <w:rFonts w:asciiTheme="minorEastAsia" w:eastAsiaTheme="minorEastAsia" w:hAnsiTheme="minorEastAsia" w:cstheme="minorBidi" w:hint="eastAsia"/>
          <w:sz w:val="24"/>
        </w:rPr>
        <w:t>（必要时，采购人可要求履约验收时提供第三方检测机构出具的检测报告复印件）</w:t>
      </w:r>
    </w:p>
    <w:p>
      <w:pPr>
        <w:numPr>
          <w:ilvl w:val="1"/>
          <w:numId w:val="30"/>
        </w:numPr>
        <w:snapToGrid w:val="0"/>
        <w:spacing w:line="360" w:lineRule="auto"/>
        <w:rPr>
          <w:rFonts w:asciiTheme="minorEastAsia" w:eastAsiaTheme="minorEastAsia" w:hAnsiTheme="minorEastAsia" w:cstheme="minorBidi"/>
          <w:sz w:val="24"/>
        </w:rPr>
      </w:pPr>
      <w:r>
        <w:rPr>
          <w:rFonts w:asciiTheme="minorEastAsia" w:eastAsiaTheme="minorEastAsia" w:hAnsiTheme="minorEastAsia" w:cstheme="minorBidi"/>
          <w:sz w:val="24"/>
        </w:rPr>
        <w:t>快递包装中使用塑料基材的包装材料不得使用邻苯二甲酸二异壬酯、邻苯二甲酸二正辛酯、邻苯二甲酸二(2-乙基)己酯、邻苯二甲酸二异癸酯、邻苯二甲酸丁基苄基酯、邻苯二甲酸二丁酯等作为增塑剂；</w:t>
      </w:r>
    </w:p>
    <w:p>
      <w:pPr>
        <w:numPr>
          <w:ilvl w:val="1"/>
          <w:numId w:val="30"/>
        </w:numPr>
        <w:snapToGrid w:val="0"/>
        <w:spacing w:line="360" w:lineRule="auto"/>
        <w:rPr>
          <w:rFonts w:asciiTheme="minorEastAsia" w:eastAsiaTheme="minorEastAsia" w:hAnsiTheme="minorEastAsia" w:cstheme="minorBidi"/>
          <w:sz w:val="24"/>
        </w:rPr>
      </w:pPr>
      <w:r>
        <w:rPr>
          <w:rFonts w:asciiTheme="minorEastAsia" w:eastAsiaTheme="minorEastAsia" w:hAnsiTheme="minorEastAsia" w:cstheme="minorBidi"/>
          <w:sz w:val="24"/>
        </w:rPr>
        <w:t>快递中使用的塑料包装袋不得使用聚氯乙烯作为原料，且原料应为单一材质制成，生物分解率大于60%；</w:t>
      </w:r>
      <w:r>
        <w:rPr>
          <w:rFonts w:asciiTheme="minorEastAsia" w:eastAsiaTheme="minorEastAsia" w:hAnsiTheme="minorEastAsia" w:cstheme="minorBidi" w:hint="eastAsia"/>
          <w:sz w:val="24"/>
        </w:rPr>
        <w:t>（必要时，采购人可要求履约验收时提供第三方检测机构出具的检测报告复印件）</w:t>
      </w:r>
    </w:p>
    <w:p>
      <w:pPr>
        <w:numPr>
          <w:ilvl w:val="1"/>
          <w:numId w:val="30"/>
        </w:numPr>
        <w:snapToGrid w:val="0"/>
        <w:spacing w:line="360" w:lineRule="auto"/>
        <w:rPr>
          <w:rFonts w:asciiTheme="minorEastAsia" w:eastAsiaTheme="minorEastAsia" w:hAnsiTheme="minorEastAsia" w:cstheme="minorBidi"/>
          <w:sz w:val="24"/>
        </w:rPr>
      </w:pPr>
      <w:r>
        <w:rPr>
          <w:rFonts w:asciiTheme="minorEastAsia" w:eastAsiaTheme="minorEastAsia" w:hAnsiTheme="minorEastAsia" w:cstheme="minorBidi"/>
          <w:sz w:val="24"/>
        </w:rPr>
        <w:t>快递中使用的充气类填充物不得使用聚氯乙烯作为原料，且原料为单一材质制成，生物分解率大于60%；</w:t>
      </w:r>
    </w:p>
    <w:p>
      <w:pPr>
        <w:numPr>
          <w:ilvl w:val="1"/>
          <w:numId w:val="30"/>
        </w:numPr>
        <w:snapToGrid w:val="0"/>
        <w:spacing w:line="360" w:lineRule="auto"/>
        <w:rPr>
          <w:rFonts w:asciiTheme="minorEastAsia" w:eastAsiaTheme="minorEastAsia" w:hAnsiTheme="minorEastAsia" w:cstheme="minorBidi"/>
          <w:sz w:val="24"/>
        </w:rPr>
      </w:pPr>
      <w:r>
        <w:rPr>
          <w:rFonts w:asciiTheme="minorEastAsia" w:eastAsiaTheme="minorEastAsia" w:hAnsiTheme="minorEastAsia" w:cstheme="minorBidi"/>
          <w:sz w:val="24"/>
        </w:rPr>
        <w:t>快递中使用的集装袋应为单一材质制成，其重复使用次数应不小于80次；</w:t>
      </w:r>
    </w:p>
    <w:p>
      <w:pPr>
        <w:numPr>
          <w:ilvl w:val="1"/>
          <w:numId w:val="30"/>
        </w:numPr>
        <w:snapToGrid w:val="0"/>
        <w:spacing w:line="360" w:lineRule="auto"/>
        <w:rPr>
          <w:rFonts w:asciiTheme="minorEastAsia" w:eastAsiaTheme="minorEastAsia" w:hAnsiTheme="minorEastAsia" w:cstheme="minorBidi"/>
          <w:sz w:val="24"/>
        </w:rPr>
      </w:pPr>
      <w:r>
        <w:rPr>
          <w:rFonts w:asciiTheme="minorEastAsia" w:eastAsiaTheme="minorEastAsia" w:hAnsiTheme="minorEastAsia" w:cstheme="minorBidi"/>
          <w:sz w:val="24"/>
        </w:rPr>
        <w:t>快递中应使用幅宽不大于45mm的生物降解胶带；</w:t>
      </w:r>
      <w:r>
        <w:rPr>
          <w:rFonts w:asciiTheme="minorEastAsia" w:eastAsiaTheme="minorEastAsia" w:hAnsiTheme="minorEastAsia" w:cstheme="minorBidi" w:hint="eastAsia"/>
          <w:sz w:val="24"/>
        </w:rPr>
        <w:t>（必要时，采购人可要求履约验收时提供第三方检测机构出具的检测报告复印件）</w:t>
      </w:r>
    </w:p>
    <w:p>
      <w:pPr>
        <w:numPr>
          <w:ilvl w:val="1"/>
          <w:numId w:val="30"/>
        </w:numPr>
        <w:snapToGrid w:val="0"/>
        <w:spacing w:line="360" w:lineRule="auto"/>
        <w:rPr>
          <w:rFonts w:asciiTheme="minorEastAsia" w:eastAsiaTheme="minorEastAsia" w:hAnsiTheme="minorEastAsia" w:cstheme="minorBidi"/>
          <w:sz w:val="24"/>
        </w:rPr>
      </w:pPr>
      <w:r>
        <w:rPr>
          <w:rFonts w:asciiTheme="minorEastAsia" w:eastAsiaTheme="minorEastAsia" w:hAnsiTheme="minorEastAsia" w:cstheme="minorBidi"/>
          <w:sz w:val="24"/>
        </w:rPr>
        <w:t>快递包装中不得使用溶剂型胶粘剂；</w:t>
      </w:r>
    </w:p>
    <w:p>
      <w:pPr>
        <w:numPr>
          <w:ilvl w:val="1"/>
          <w:numId w:val="30"/>
        </w:numPr>
        <w:snapToGrid w:val="0"/>
        <w:spacing w:line="360" w:lineRule="auto"/>
        <w:rPr>
          <w:rFonts w:asciiTheme="minorEastAsia" w:eastAsiaTheme="minorEastAsia" w:hAnsiTheme="minorEastAsia" w:cstheme="minorBidi"/>
          <w:sz w:val="24"/>
        </w:rPr>
      </w:pPr>
      <w:r>
        <w:rPr>
          <w:rFonts w:asciiTheme="minorEastAsia" w:eastAsiaTheme="minorEastAsia" w:hAnsiTheme="minorEastAsia" w:cstheme="minorBidi"/>
          <w:sz w:val="24"/>
        </w:rPr>
        <w:t>快递应使用电子面单；</w:t>
      </w:r>
    </w:p>
    <w:p>
      <w:pPr>
        <w:numPr>
          <w:ilvl w:val="1"/>
          <w:numId w:val="30"/>
        </w:numPr>
        <w:snapToGrid w:val="0"/>
        <w:spacing w:line="360" w:lineRule="auto"/>
        <w:rPr>
          <w:rFonts w:asciiTheme="minorEastAsia" w:eastAsiaTheme="minorEastAsia" w:hAnsiTheme="minorEastAsia" w:cstheme="minorBidi"/>
          <w:sz w:val="24"/>
        </w:rPr>
      </w:pPr>
      <w:r>
        <w:rPr>
          <w:rFonts w:asciiTheme="minorEastAsia" w:eastAsiaTheme="minorEastAsia" w:hAnsiTheme="minorEastAsia" w:cstheme="minorBidi"/>
          <w:sz w:val="24"/>
        </w:rPr>
        <w:t>直接使用商品包装作为快递包装的商品，其商品包装满足《商品包装政府采购需求标准（试行）》即可；</w:t>
      </w:r>
    </w:p>
    <w:p>
      <w:pPr>
        <w:numPr>
          <w:ilvl w:val="1"/>
          <w:numId w:val="30"/>
        </w:numPr>
        <w:snapToGrid w:val="0"/>
        <w:spacing w:line="360" w:lineRule="auto"/>
        <w:rPr>
          <w:rFonts w:asciiTheme="minorEastAsia" w:eastAsiaTheme="minorEastAsia" w:hAnsiTheme="minorEastAsia" w:cstheme="minorBidi"/>
          <w:sz w:val="24"/>
        </w:rPr>
      </w:pPr>
      <w:r>
        <w:rPr>
          <w:rFonts w:asciiTheme="minorEastAsia" w:eastAsiaTheme="minorEastAsia" w:hAnsiTheme="minorEastAsia" w:cstheme="minorBidi"/>
          <w:sz w:val="24"/>
        </w:rPr>
        <w:t>快递包装产品质量和封装方式应符合相关国家或行业标准技术指标要求。</w:t>
      </w:r>
    </w:p>
    <w:p>
      <w:pPr>
        <w:numPr>
          <w:ilvl w:val="0"/>
          <w:numId w:val="27"/>
        </w:numPr>
        <w:snapToGrid w:val="0"/>
        <w:spacing w:line="360" w:lineRule="auto"/>
        <w:rPr>
          <w:rFonts w:asciiTheme="minorEastAsia" w:eastAsiaTheme="minorEastAsia" w:hAnsiTheme="minorEastAsia" w:cstheme="minorBidi"/>
          <w:sz w:val="24"/>
        </w:rPr>
      </w:pPr>
      <w:r>
        <w:rPr>
          <w:rFonts w:asciiTheme="minorEastAsia" w:eastAsiaTheme="minorEastAsia" w:hAnsiTheme="minorEastAsia" w:cstheme="minorBidi"/>
          <w:sz w:val="24"/>
        </w:rPr>
        <w:t xml:space="preserve">快递包装检测方法 </w:t>
      </w:r>
    </w:p>
    <w:p>
      <w:pPr>
        <w:numPr>
          <w:ilvl w:val="1"/>
          <w:numId w:val="31"/>
        </w:numPr>
        <w:snapToGrid w:val="0"/>
        <w:spacing w:line="360" w:lineRule="auto"/>
        <w:rPr>
          <w:rFonts w:asciiTheme="minorEastAsia" w:eastAsiaTheme="minorEastAsia" w:hAnsiTheme="minorEastAsia" w:cstheme="minorBidi"/>
          <w:sz w:val="24"/>
        </w:rPr>
      </w:pPr>
      <w:r>
        <w:rPr>
          <w:rFonts w:asciiTheme="minorEastAsia" w:eastAsiaTheme="minorEastAsia" w:hAnsiTheme="minorEastAsia" w:cstheme="minorBidi"/>
          <w:sz w:val="24"/>
        </w:rPr>
        <w:t>快递包装中重金属（铅、汞、镉、六价铬）总量的检测按照GB/T10004-2008《包装用塑料复合膜、袋干法复合、挤出复合》规定的方法进行。</w:t>
      </w:r>
    </w:p>
    <w:p>
      <w:pPr>
        <w:numPr>
          <w:ilvl w:val="1"/>
          <w:numId w:val="31"/>
        </w:numPr>
        <w:snapToGrid w:val="0"/>
        <w:spacing w:line="360" w:lineRule="auto"/>
        <w:rPr>
          <w:rFonts w:asciiTheme="minorEastAsia" w:eastAsiaTheme="minorEastAsia" w:hAnsiTheme="minorEastAsia" w:cstheme="minorBidi"/>
          <w:sz w:val="24"/>
        </w:rPr>
      </w:pPr>
      <w:r>
        <w:rPr>
          <w:rFonts w:asciiTheme="minorEastAsia" w:eastAsiaTheme="minorEastAsia" w:hAnsiTheme="minorEastAsia" w:cstheme="minorBidi"/>
          <w:sz w:val="24"/>
        </w:rPr>
        <w:t>快递包装印刷使用的油墨中挥发性有机化合物(VOCs)的检测按照GB/T23986-2009《色漆和清漆挥发性有机化合物(VOC)含量的测定气相色谱法》规定的方法进行。</w:t>
      </w:r>
    </w:p>
    <w:p>
      <w:pPr>
        <w:numPr>
          <w:ilvl w:val="1"/>
          <w:numId w:val="31"/>
        </w:numPr>
        <w:snapToGrid w:val="0"/>
        <w:spacing w:line="360" w:lineRule="auto"/>
        <w:rPr>
          <w:rFonts w:asciiTheme="minorEastAsia" w:eastAsiaTheme="minorEastAsia" w:hAnsiTheme="minorEastAsia" w:cstheme="minorBidi"/>
          <w:sz w:val="24"/>
        </w:rPr>
      </w:pPr>
      <w:r>
        <w:rPr>
          <w:rFonts w:asciiTheme="minorEastAsia" w:eastAsiaTheme="minorEastAsia" w:hAnsiTheme="minorEastAsia" w:cstheme="minorBidi"/>
          <w:sz w:val="24"/>
        </w:rPr>
        <w:t>快递包装所使用的塑料包装的生物降解率的检测按照GB/T20197-2006《降解塑料的定义、分类、标识和降解性能要求》规定的方法进行。</w:t>
      </w:r>
    </w:p>
    <w:p>
      <w:pPr>
        <w:numPr>
          <w:ilvl w:val="1"/>
          <w:numId w:val="31"/>
        </w:numPr>
        <w:snapToGrid w:val="0"/>
        <w:spacing w:line="360" w:lineRule="auto"/>
        <w:rPr>
          <w:rFonts w:asciiTheme="minorEastAsia" w:eastAsiaTheme="minorEastAsia" w:hAnsiTheme="minorEastAsia" w:cstheme="minorBidi"/>
          <w:sz w:val="24"/>
        </w:rPr>
      </w:pPr>
      <w:r>
        <w:rPr>
          <w:rFonts w:asciiTheme="minorEastAsia" w:eastAsiaTheme="minorEastAsia" w:hAnsiTheme="minorEastAsia" w:cstheme="minorBidi"/>
          <w:sz w:val="24"/>
        </w:rPr>
        <w:t>快递包装使用纸基材的包装材料中有机氯的检测按照GB/T22904-2008《纸浆、纸和纸板总氯和有机氯的检定》规定的方法进行。</w:t>
      </w:r>
    </w:p>
    <w:p>
      <w:pPr>
        <w:numPr>
          <w:ilvl w:val="1"/>
          <w:numId w:val="31"/>
        </w:numPr>
        <w:snapToGrid w:val="0"/>
        <w:spacing w:line="360" w:lineRule="auto"/>
        <w:rPr>
          <w:rFonts w:asciiTheme="minorEastAsia" w:eastAsiaTheme="minorEastAsia" w:hAnsiTheme="minorEastAsia" w:cstheme="minorBidi"/>
          <w:sz w:val="24"/>
        </w:rPr>
      </w:pPr>
      <w:r>
        <w:rPr>
          <w:rFonts w:asciiTheme="minorEastAsia" w:eastAsiaTheme="minorEastAsia" w:hAnsiTheme="minorEastAsia" w:cstheme="minorBidi"/>
          <w:sz w:val="24"/>
        </w:rPr>
        <w:t>快递包装中使用的生物降解胶带的生物降解率的检测按照GB/T19277.1《受控堆肥条件下材料最终需氧生物分解能力的测定采用测定释放的二氧化碳的方法 第1部分：通用方法》规定的方法进行。</w:t>
      </w:r>
    </w:p>
    <w:p>
      <w:pPr>
        <w:widowControl/>
        <w:jc w:val="left"/>
        <w:rPr>
          <w:b/>
          <w:bCs/>
          <w:sz w:val="28"/>
          <w:szCs w:val="28"/>
        </w:rPr>
      </w:pPr>
      <w:r>
        <w:rPr>
          <w:rFonts w:asciiTheme="minorEastAsia" w:eastAsiaTheme="minorEastAsia" w:hAnsiTheme="minorEastAsia" w:cstheme="minorBidi" w:hint="eastAsia"/>
          <w:sz w:val="24"/>
        </w:rPr>
        <w:t>（五）项目验收时，采购人将根据上述要求对商品包装和快递包装组织验收工作。</w:t>
      </w:r>
    </w:p>
    <w:p>
      <w:pPr>
        <w:widowControl/>
        <w:jc w:val="center"/>
        <w:outlineLvl w:val="3"/>
        <w:rPr>
          <w:b/>
          <w:bCs/>
          <w:sz w:val="28"/>
          <w:szCs w:val="28"/>
        </w:rPr>
      </w:pPr>
      <w:r>
        <w:rPr>
          <w:b/>
          <w:bCs/>
          <w:sz w:val="28"/>
          <w:szCs w:val="28"/>
        </w:rPr>
        <w:br w:type="page"/>
      </w:r>
    </w:p>
    <w:p>
      <w:pPr>
        <w:adjustRightInd w:val="0"/>
        <w:snapToGrid w:val="0"/>
        <w:spacing w:before="156" w:beforeLines="50" w:after="156" w:afterLines="50" w:line="360" w:lineRule="auto"/>
        <w:jc w:val="center"/>
        <w:outlineLvl w:val="0"/>
        <w:rPr>
          <w:b/>
          <w:bCs/>
          <w:sz w:val="28"/>
          <w:szCs w:val="28"/>
        </w:rPr>
      </w:pPr>
      <w:bookmarkStart w:id="82" w:name="_Toc25119"/>
      <w:bookmarkStart w:id="83" w:name="_Toc256000011"/>
      <w:r>
        <w:rPr>
          <w:b/>
          <w:bCs/>
          <w:sz w:val="28"/>
          <w:szCs w:val="28"/>
        </w:rPr>
        <w:t>第</w:t>
      </w:r>
      <w:r>
        <w:rPr>
          <w:rFonts w:hint="eastAsia"/>
          <w:b/>
          <w:bCs/>
          <w:sz w:val="28"/>
          <w:szCs w:val="28"/>
        </w:rPr>
        <w:t>四</w:t>
      </w:r>
      <w:r>
        <w:rPr>
          <w:b/>
          <w:bCs/>
          <w:sz w:val="28"/>
          <w:szCs w:val="28"/>
        </w:rPr>
        <w:t>章</w:t>
      </w:r>
      <w:r>
        <w:rPr>
          <w:rFonts w:hint="eastAsia"/>
          <w:b/>
          <w:bCs/>
          <w:sz w:val="28"/>
          <w:szCs w:val="28"/>
        </w:rPr>
        <w:t xml:space="preserve"> </w:t>
      </w:r>
      <w:r>
        <w:rPr>
          <w:b/>
          <w:bCs/>
          <w:sz w:val="28"/>
          <w:szCs w:val="28"/>
        </w:rPr>
        <w:t>投标人须知</w:t>
      </w:r>
      <w:bookmarkEnd w:id="83"/>
      <w:bookmarkEnd w:id="74"/>
      <w:bookmarkEnd w:id="82"/>
    </w:p>
    <w:p>
      <w:pPr>
        <w:adjustRightInd w:val="0"/>
        <w:snapToGrid w:val="0"/>
        <w:spacing w:before="156" w:beforeLines="50" w:after="156" w:afterLines="50" w:line="360" w:lineRule="auto"/>
        <w:ind w:left="420"/>
        <w:jc w:val="center"/>
        <w:outlineLvl w:val="1"/>
        <w:rPr>
          <w:b/>
          <w:bCs/>
          <w:sz w:val="28"/>
          <w:szCs w:val="28"/>
        </w:rPr>
      </w:pPr>
      <w:bookmarkStart w:id="84" w:name="_Toc11732"/>
      <w:bookmarkStart w:id="85" w:name="_Toc256000012"/>
      <w:r>
        <w:rPr>
          <w:rFonts w:hint="eastAsia"/>
          <w:b/>
          <w:bCs/>
          <w:sz w:val="28"/>
          <w:szCs w:val="28"/>
        </w:rPr>
        <w:t>第一部分 投标人须知前附表</w:t>
      </w:r>
      <w:bookmarkEnd w:id="85"/>
      <w:bookmarkEnd w:id="84"/>
    </w:p>
    <w:p>
      <w:pPr>
        <w:spacing w:line="360" w:lineRule="auto"/>
        <w:ind w:right="-1" w:firstLine="420" w:firstLineChars="200"/>
        <w:rPr>
          <w:rFonts w:asciiTheme="minorEastAsia" w:eastAsiaTheme="minorEastAsia" w:hAnsiTheme="minorEastAsia"/>
          <w:sz w:val="24"/>
        </w:rPr>
      </w:pPr>
      <w:r>
        <w:rPr>
          <w:rFonts w:asciiTheme="minorEastAsia" w:eastAsiaTheme="minorEastAsia" w:hAnsiTheme="minorEastAsia" w:hint="eastAsia"/>
          <w:sz w:val="24"/>
        </w:rPr>
        <w:t>说明：本投标人须知前附表的条款项号与《投标人须知通用条款》的条款项号一一对应，是对《投标人须知通用条款》补充、修改和完善，如果有矛盾之处，应以本投标人须知前附表为准。</w:t>
      </w:r>
    </w:p>
    <w:tbl>
      <w:tblPr>
        <w:tblStyle w:val="TableNormal"/>
        <w:tblW w:w="998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0" w:type="dxa"/>
          <w:left w:w="108" w:type="dxa"/>
          <w:bottom w:w="0" w:type="dxa"/>
          <w:right w:w="108" w:type="dxa"/>
        </w:tblCellMar>
      </w:tblPr>
      <w:tblGrid>
        <w:gridCol w:w="1314"/>
        <w:gridCol w:w="708"/>
        <w:gridCol w:w="1418"/>
        <w:gridCol w:w="6546"/>
      </w:tblGrid>
      <w:tr>
        <w:tblPrEx>
          <w:tblW w:w="998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0" w:type="dxa"/>
            <w:left w:w="108" w:type="dxa"/>
            <w:bottom w:w="0" w:type="dxa"/>
            <w:right w:w="108" w:type="dxa"/>
          </w:tblCellMar>
        </w:tblPrEx>
        <w:trPr>
          <w:trHeight w:val="444"/>
          <w:jc w:val="center"/>
        </w:trPr>
        <w:tc>
          <w:tcPr>
            <w:tcW w:w="2022" w:type="dxa"/>
            <w:gridSpan w:val="2"/>
            <w:vAlign w:val="center"/>
          </w:tcPr>
          <w:p>
            <w:pPr>
              <w:jc w:val="center"/>
              <w:rPr>
                <w:rFonts w:asciiTheme="minorEastAsia" w:eastAsiaTheme="minorEastAsia" w:hAnsiTheme="minorEastAsia"/>
                <w:b/>
                <w:sz w:val="24"/>
              </w:rPr>
            </w:pPr>
            <w:r>
              <w:rPr>
                <w:rFonts w:asciiTheme="minorEastAsia" w:eastAsiaTheme="minorEastAsia" w:hAnsiTheme="minorEastAsia"/>
                <w:b/>
                <w:sz w:val="24"/>
              </w:rPr>
              <w:t>条款</w:t>
            </w:r>
            <w:r>
              <w:rPr>
                <w:rFonts w:asciiTheme="minorEastAsia" w:eastAsiaTheme="minorEastAsia" w:hAnsiTheme="minorEastAsia" w:hint="eastAsia"/>
                <w:b/>
                <w:sz w:val="24"/>
              </w:rPr>
              <w:t>项</w:t>
            </w:r>
            <w:r>
              <w:rPr>
                <w:rFonts w:asciiTheme="minorEastAsia" w:eastAsiaTheme="minorEastAsia" w:hAnsiTheme="minorEastAsia"/>
                <w:b/>
                <w:sz w:val="24"/>
              </w:rPr>
              <w:t>号</w:t>
            </w:r>
          </w:p>
        </w:tc>
        <w:tc>
          <w:tcPr>
            <w:tcW w:w="1418" w:type="dxa"/>
            <w:vAlign w:val="center"/>
          </w:tcPr>
          <w:p>
            <w:pPr>
              <w:jc w:val="center"/>
              <w:rPr>
                <w:rFonts w:asciiTheme="minorEastAsia" w:eastAsiaTheme="minorEastAsia" w:hAnsiTheme="minorEastAsia"/>
                <w:b/>
                <w:sz w:val="24"/>
              </w:rPr>
            </w:pPr>
            <w:r>
              <w:rPr>
                <w:rFonts w:asciiTheme="minorEastAsia" w:eastAsiaTheme="minorEastAsia" w:hAnsiTheme="minorEastAsia" w:hint="eastAsia"/>
                <w:b/>
                <w:sz w:val="24"/>
              </w:rPr>
              <w:t>内容</w:t>
            </w:r>
          </w:p>
        </w:tc>
        <w:tc>
          <w:tcPr>
            <w:tcW w:w="6546" w:type="dxa"/>
            <w:vAlign w:val="center"/>
          </w:tcPr>
          <w:p>
            <w:pPr>
              <w:jc w:val="center"/>
              <w:rPr>
                <w:rFonts w:asciiTheme="minorEastAsia" w:eastAsiaTheme="minorEastAsia" w:hAnsiTheme="minorEastAsia"/>
                <w:b/>
                <w:sz w:val="24"/>
              </w:rPr>
            </w:pPr>
            <w:r>
              <w:rPr>
                <w:rFonts w:asciiTheme="minorEastAsia" w:eastAsiaTheme="minorEastAsia" w:hAnsiTheme="minorEastAsia" w:hint="eastAsia"/>
                <w:b/>
                <w:sz w:val="24"/>
              </w:rPr>
              <w:t>说明与要求</w:t>
            </w:r>
          </w:p>
        </w:tc>
      </w:tr>
      <w:tr>
        <w:tblPrEx>
          <w:tblW w:w="9986" w:type="dxa"/>
          <w:jc w:val="center"/>
          <w:tblLayout w:type="fixed"/>
          <w:tblCellMar>
            <w:top w:w="0" w:type="dxa"/>
            <w:left w:w="108" w:type="dxa"/>
            <w:bottom w:w="0" w:type="dxa"/>
            <w:right w:w="108" w:type="dxa"/>
          </w:tblCellMar>
        </w:tblPrEx>
        <w:trPr>
          <w:cantSplit/>
          <w:trHeight w:val="550"/>
          <w:jc w:val="center"/>
        </w:trPr>
        <w:tc>
          <w:tcPr>
            <w:tcW w:w="9986" w:type="dxa"/>
            <w:gridSpan w:val="4"/>
            <w:vAlign w:val="center"/>
          </w:tcPr>
          <w:p>
            <w:pPr>
              <w:jc w:val="center"/>
              <w:rPr>
                <w:rFonts w:asciiTheme="minorEastAsia" w:eastAsiaTheme="minorEastAsia" w:hAnsiTheme="minorEastAsia"/>
                <w:sz w:val="24"/>
              </w:rPr>
            </w:pPr>
            <w:r>
              <w:rPr>
                <w:rFonts w:asciiTheme="minorEastAsia" w:eastAsiaTheme="minorEastAsia" w:hAnsiTheme="minorEastAsia" w:hint="eastAsia"/>
                <w:b/>
                <w:sz w:val="24"/>
              </w:rPr>
              <w:t>二、招标文件</w:t>
            </w:r>
          </w:p>
        </w:tc>
      </w:tr>
      <w:tr>
        <w:tblPrEx>
          <w:tblW w:w="9986" w:type="dxa"/>
          <w:jc w:val="center"/>
          <w:tblLayout w:type="fixed"/>
          <w:tblCellMar>
            <w:top w:w="0" w:type="dxa"/>
            <w:left w:w="108" w:type="dxa"/>
            <w:bottom w:w="0" w:type="dxa"/>
            <w:right w:w="108" w:type="dxa"/>
          </w:tblCellMar>
        </w:tblPrEx>
        <w:trPr>
          <w:cantSplit/>
          <w:trHeight w:val="816"/>
          <w:jc w:val="center"/>
        </w:trPr>
        <w:tc>
          <w:tcPr>
            <w:tcW w:w="1314" w:type="dxa"/>
            <w:vAlign w:val="center"/>
          </w:tcPr>
          <w:p>
            <w:pPr>
              <w:jc w:val="center"/>
              <w:rPr>
                <w:rFonts w:asciiTheme="minorEastAsia" w:eastAsiaTheme="minorEastAsia" w:hAnsiTheme="minorEastAsia"/>
                <w:sz w:val="24"/>
              </w:rPr>
            </w:pPr>
            <w:r>
              <w:rPr>
                <w:rFonts w:asciiTheme="minorEastAsia" w:eastAsiaTheme="minorEastAsia" w:hAnsiTheme="minorEastAsia" w:hint="eastAsia"/>
                <w:sz w:val="24"/>
              </w:rPr>
              <w:t>（三）</w:t>
            </w:r>
          </w:p>
        </w:tc>
        <w:tc>
          <w:tcPr>
            <w:tcW w:w="708" w:type="dxa"/>
            <w:vAlign w:val="center"/>
          </w:tcPr>
          <w:p>
            <w:pPr>
              <w:jc w:val="center"/>
              <w:rPr>
                <w:rFonts w:asciiTheme="minorEastAsia" w:eastAsiaTheme="minorEastAsia" w:hAnsiTheme="minorEastAsia"/>
                <w:sz w:val="24"/>
              </w:rPr>
            </w:pPr>
            <w:r>
              <w:rPr>
                <w:rFonts w:asciiTheme="minorEastAsia" w:eastAsiaTheme="minorEastAsia" w:hAnsiTheme="minorEastAsia" w:hint="eastAsia"/>
                <w:sz w:val="24"/>
              </w:rPr>
              <w:t>1.</w:t>
            </w:r>
          </w:p>
        </w:tc>
        <w:tc>
          <w:tcPr>
            <w:tcW w:w="1418" w:type="dxa"/>
            <w:vAlign w:val="center"/>
          </w:tcPr>
          <w:p>
            <w:pPr>
              <w:jc w:val="center"/>
              <w:rPr>
                <w:rFonts w:asciiTheme="minorEastAsia" w:eastAsiaTheme="minorEastAsia" w:hAnsiTheme="minorEastAsia"/>
                <w:sz w:val="24"/>
              </w:rPr>
            </w:pPr>
            <w:r>
              <w:rPr>
                <w:rFonts w:asciiTheme="minorEastAsia" w:eastAsiaTheme="minorEastAsia" w:hAnsiTheme="minorEastAsia" w:hint="eastAsia"/>
                <w:sz w:val="24"/>
              </w:rPr>
              <w:t>现场考察或答疑会</w:t>
            </w:r>
          </w:p>
        </w:tc>
        <w:tc>
          <w:tcPr>
            <w:tcW w:w="6546" w:type="dxa"/>
            <w:vAlign w:val="center"/>
          </w:tcPr>
          <w:p>
            <w:pPr>
              <w:tabs>
                <w:tab w:val="left" w:pos="459"/>
                <w:tab w:val="left" w:pos="601"/>
              </w:tabs>
              <w:adjustRightInd w:val="0"/>
              <w:snapToGrid w:val="0"/>
              <w:rPr>
                <w:rFonts w:asciiTheme="minorEastAsia" w:eastAsiaTheme="minorEastAsia" w:hAnsiTheme="minorEastAsia"/>
                <w:color w:val="FF0000"/>
                <w:sz w:val="24"/>
              </w:rPr>
            </w:pPr>
            <w:r>
              <w:rPr>
                <w:rFonts w:asciiTheme="minorEastAsia" w:eastAsiaTheme="minorEastAsia" w:hAnsiTheme="minorEastAsia" w:hint="eastAsia"/>
                <w:sz w:val="24"/>
              </w:rPr>
              <w:t>不举行；</w:t>
            </w:r>
            <w:r>
              <w:rPr>
                <w:rFonts w:asciiTheme="minorEastAsia" w:eastAsiaTheme="minorEastAsia" w:hAnsiTheme="minorEastAsia"/>
                <w:sz w:val="24"/>
              </w:rPr>
              <w:t xml:space="preserve"> </w:t>
            </w:r>
          </w:p>
        </w:tc>
      </w:tr>
      <w:tr>
        <w:tblPrEx>
          <w:tblW w:w="9986" w:type="dxa"/>
          <w:jc w:val="center"/>
          <w:tblLayout w:type="fixed"/>
          <w:tblCellMar>
            <w:top w:w="0" w:type="dxa"/>
            <w:left w:w="108" w:type="dxa"/>
            <w:bottom w:w="0" w:type="dxa"/>
            <w:right w:w="108" w:type="dxa"/>
          </w:tblCellMar>
        </w:tblPrEx>
        <w:trPr>
          <w:cantSplit/>
          <w:trHeight w:val="629"/>
          <w:jc w:val="center"/>
        </w:trPr>
        <w:tc>
          <w:tcPr>
            <w:tcW w:w="9986" w:type="dxa"/>
            <w:gridSpan w:val="4"/>
            <w:vAlign w:val="center"/>
          </w:tcPr>
          <w:p>
            <w:pPr>
              <w:jc w:val="center"/>
              <w:rPr>
                <w:rFonts w:asciiTheme="minorEastAsia" w:eastAsiaTheme="minorEastAsia" w:hAnsiTheme="minorEastAsia"/>
                <w:b/>
                <w:sz w:val="24"/>
              </w:rPr>
            </w:pPr>
            <w:r>
              <w:rPr>
                <w:rFonts w:asciiTheme="minorEastAsia" w:eastAsiaTheme="minorEastAsia" w:hAnsiTheme="minorEastAsia"/>
                <w:b/>
                <w:sz w:val="24"/>
              </w:rPr>
              <w:t>三、投标文件的编制</w:t>
            </w:r>
          </w:p>
        </w:tc>
      </w:tr>
      <w:tr>
        <w:tblPrEx>
          <w:tblW w:w="9986" w:type="dxa"/>
          <w:jc w:val="center"/>
          <w:tblLayout w:type="fixed"/>
          <w:tblCellMar>
            <w:top w:w="0" w:type="dxa"/>
            <w:left w:w="108" w:type="dxa"/>
            <w:bottom w:w="0" w:type="dxa"/>
            <w:right w:w="108" w:type="dxa"/>
          </w:tblCellMar>
        </w:tblPrEx>
        <w:trPr>
          <w:trHeight w:val="2880"/>
          <w:jc w:val="center"/>
        </w:trPr>
        <w:tc>
          <w:tcPr>
            <w:tcW w:w="1314" w:type="dxa"/>
            <w:vAlign w:val="center"/>
          </w:tcPr>
          <w:p>
            <w:pPr>
              <w:jc w:val="center"/>
              <w:rPr>
                <w:rFonts w:asciiTheme="minorEastAsia" w:eastAsiaTheme="minorEastAsia" w:hAnsiTheme="minorEastAsia"/>
                <w:sz w:val="24"/>
              </w:rPr>
            </w:pPr>
            <w:r>
              <w:rPr>
                <w:rFonts w:asciiTheme="minorEastAsia" w:eastAsiaTheme="minorEastAsia" w:hAnsiTheme="minorEastAsia" w:hint="eastAsia"/>
                <w:sz w:val="24"/>
              </w:rPr>
              <w:t>（四）</w:t>
            </w:r>
          </w:p>
        </w:tc>
        <w:tc>
          <w:tcPr>
            <w:tcW w:w="708" w:type="dxa"/>
            <w:vAlign w:val="center"/>
          </w:tcPr>
          <w:p>
            <w:pPr>
              <w:jc w:val="center"/>
              <w:rPr>
                <w:rFonts w:asciiTheme="minorEastAsia" w:eastAsiaTheme="minorEastAsia" w:hAnsiTheme="minorEastAsia"/>
                <w:sz w:val="24"/>
              </w:rPr>
            </w:pPr>
            <w:r>
              <w:rPr>
                <w:rFonts w:asciiTheme="minorEastAsia" w:eastAsiaTheme="minorEastAsia" w:hAnsiTheme="minorEastAsia"/>
                <w:sz w:val="24"/>
              </w:rPr>
              <w:t>1</w:t>
            </w:r>
            <w:r>
              <w:rPr>
                <w:rFonts w:asciiTheme="minorEastAsia" w:eastAsiaTheme="minorEastAsia" w:hAnsiTheme="minorEastAsia" w:hint="eastAsia"/>
                <w:sz w:val="24"/>
              </w:rPr>
              <w:t>.</w:t>
            </w:r>
          </w:p>
        </w:tc>
        <w:tc>
          <w:tcPr>
            <w:tcW w:w="1418" w:type="dxa"/>
            <w:vAlign w:val="center"/>
          </w:tcPr>
          <w:p>
            <w:pPr>
              <w:jc w:val="center"/>
              <w:rPr>
                <w:rFonts w:asciiTheme="minorEastAsia" w:eastAsiaTheme="minorEastAsia" w:hAnsiTheme="minorEastAsia"/>
                <w:sz w:val="24"/>
              </w:rPr>
            </w:pPr>
            <w:r>
              <w:rPr>
                <w:rFonts w:asciiTheme="minorEastAsia" w:eastAsiaTheme="minorEastAsia" w:hAnsiTheme="minorEastAsia"/>
                <w:sz w:val="24"/>
              </w:rPr>
              <w:t>投标文件</w:t>
            </w:r>
            <w:r>
              <w:rPr>
                <w:rFonts w:asciiTheme="minorEastAsia" w:eastAsiaTheme="minorEastAsia" w:hAnsiTheme="minorEastAsia" w:hint="eastAsia"/>
                <w:sz w:val="24"/>
              </w:rPr>
              <w:t>式样</w:t>
            </w:r>
          </w:p>
        </w:tc>
        <w:tc>
          <w:tcPr>
            <w:tcW w:w="6546" w:type="dxa"/>
            <w:vAlign w:val="center"/>
          </w:tcPr>
          <w:p>
            <w:pPr>
              <w:pStyle w:val="ListParagraph"/>
              <w:tabs>
                <w:tab w:val="left" w:pos="459"/>
                <w:tab w:val="left" w:pos="601"/>
              </w:tabs>
              <w:adjustRightInd w:val="0"/>
              <w:snapToGrid w:val="0"/>
              <w:ind w:firstLine="0" w:firstLineChars="0"/>
              <w:rPr>
                <w:rFonts w:asciiTheme="minorEastAsia" w:eastAsiaTheme="minorEastAsia" w:hAnsiTheme="minorEastAsia" w:cs="宋体"/>
                <w:sz w:val="24"/>
                <w:lang w:eastAsia="zh-TW"/>
              </w:rPr>
            </w:pPr>
            <w:r>
              <w:rPr>
                <w:rFonts w:asciiTheme="minorEastAsia" w:eastAsiaTheme="minorEastAsia" w:hAnsiTheme="minorEastAsia" w:cs="宋体" w:hint="eastAsia"/>
                <w:sz w:val="24"/>
              </w:rPr>
              <w:t>（1）</w:t>
            </w:r>
            <w:r>
              <w:rPr>
                <w:rFonts w:asciiTheme="minorEastAsia" w:eastAsiaTheme="minorEastAsia" w:hAnsiTheme="minorEastAsia" w:cs="宋体" w:hint="eastAsia"/>
                <w:sz w:val="24"/>
                <w:lang w:eastAsia="zh-TW"/>
              </w:rPr>
              <w:t>投标人应准备所投项目的电子投标文件一份。此电子投标文件须由投标人根据采购代理机构提供的后缀名为.szczf的电子招标文件，下载并使用相应的深圳智慧采购平台投标文件制作专用软件打开招标文件（.szczf格式）【下载地址：</w:t>
            </w:r>
            <w:r>
              <w:fldChar w:fldCharType="begin"/>
            </w:r>
            <w:r>
              <w:instrText xml:space="preserve"> HYPERLINK "http://zfcg.szggzy.com/TPBidder/DownLoad/深圳市智慧采购平台投标文件制作专用软件.zip】。" </w:instrText>
            </w:r>
            <w:r>
              <w:fldChar w:fldCharType="separate"/>
            </w:r>
            <w:r>
              <w:rPr>
                <w:rFonts w:asciiTheme="minorEastAsia" w:eastAsiaTheme="minorEastAsia" w:hAnsiTheme="minorEastAsia" w:cs="宋体" w:hint="eastAsia"/>
                <w:sz w:val="24"/>
                <w:lang w:eastAsia="zh-TW"/>
              </w:rPr>
              <w:t>http://zfcg.szggzy.com/TPBidder/DownLoad/深圳市智慧采购平台投标文件制作专用软件.zip】。</w:t>
            </w:r>
            <w:r>
              <w:rPr>
                <w:rFonts w:asciiTheme="minorEastAsia" w:eastAsiaTheme="minorEastAsia" w:hAnsiTheme="minorEastAsia" w:cs="宋体" w:hint="eastAsia"/>
                <w:sz w:val="24"/>
                <w:lang w:eastAsia="zh-TW"/>
              </w:rPr>
              <w:fldChar w:fldCharType="end"/>
            </w:r>
          </w:p>
          <w:p>
            <w:pPr>
              <w:pStyle w:val="ListParagraph"/>
              <w:tabs>
                <w:tab w:val="left" w:pos="459"/>
                <w:tab w:val="left" w:pos="601"/>
              </w:tabs>
              <w:adjustRightInd w:val="0"/>
              <w:snapToGrid w:val="0"/>
              <w:ind w:firstLine="0" w:firstLineChars="0"/>
              <w:rPr>
                <w:rFonts w:asciiTheme="minorEastAsia" w:eastAsiaTheme="minorEastAsia" w:hAnsiTheme="minorEastAsia" w:cs="宋体"/>
                <w:sz w:val="24"/>
                <w:lang w:eastAsia="zh-TW"/>
              </w:rPr>
            </w:pPr>
            <w:r>
              <w:rPr>
                <w:rFonts w:asciiTheme="minorEastAsia" w:eastAsiaTheme="minorEastAsia" w:hAnsiTheme="minorEastAsia" w:cs="宋体" w:hint="eastAsia"/>
                <w:sz w:val="24"/>
              </w:rPr>
              <w:t>（2）</w:t>
            </w:r>
            <w:r>
              <w:rPr>
                <w:rFonts w:asciiTheme="minorEastAsia" w:eastAsiaTheme="minorEastAsia" w:hAnsiTheme="minorEastAsia" w:cs="宋体" w:hint="eastAsia"/>
                <w:sz w:val="24"/>
                <w:lang w:eastAsia="zh-TW"/>
              </w:rPr>
              <w:t>投标文件必须是通过在</w:t>
            </w:r>
            <w:r>
              <w:rPr>
                <w:rFonts w:asciiTheme="minorEastAsia" w:eastAsiaTheme="minorEastAsia" w:hAnsiTheme="minorEastAsia" w:cs="宋体" w:hint="eastAsia"/>
                <w:sz w:val="24"/>
              </w:rPr>
              <w:t>深圳政府采购智慧平台（http://zfcg.szggzy.com:8081/）</w:t>
            </w:r>
            <w:r>
              <w:rPr>
                <w:rFonts w:asciiTheme="minorEastAsia" w:eastAsiaTheme="minorEastAsia" w:hAnsiTheme="minorEastAsia" w:cs="宋体" w:hint="eastAsia"/>
                <w:sz w:val="24"/>
                <w:lang w:eastAsia="zh-TW"/>
              </w:rPr>
              <w:t>下载的最新版投标文件编制软件制作的，并使用投标人密钥及正确加密规则加密成功的电子档文件；投标人自行承担错误操作投标文件编制软件或使用了旧版本的投标文件编制软件制作投标文件使投标文件无法打开、资料缺失、无法显示等情况导致的扣分、废标等不良后果；不正确加密的投标文件将导致其投标被拒绝。</w:t>
            </w:r>
          </w:p>
        </w:tc>
      </w:tr>
      <w:tr>
        <w:tblPrEx>
          <w:tblW w:w="9986" w:type="dxa"/>
          <w:jc w:val="center"/>
          <w:tblLayout w:type="fixed"/>
          <w:tblCellMar>
            <w:top w:w="0" w:type="dxa"/>
            <w:left w:w="108" w:type="dxa"/>
            <w:bottom w:w="0" w:type="dxa"/>
            <w:right w:w="108" w:type="dxa"/>
          </w:tblCellMar>
        </w:tblPrEx>
        <w:trPr>
          <w:trHeight w:val="1551"/>
          <w:jc w:val="center"/>
        </w:trPr>
        <w:tc>
          <w:tcPr>
            <w:tcW w:w="1314" w:type="dxa"/>
            <w:vMerge w:val="restart"/>
            <w:vAlign w:val="center"/>
          </w:tcPr>
          <w:p>
            <w:pPr>
              <w:jc w:val="center"/>
              <w:rPr>
                <w:rFonts w:asciiTheme="minorEastAsia" w:eastAsiaTheme="minorEastAsia" w:hAnsiTheme="minorEastAsia"/>
                <w:sz w:val="24"/>
              </w:rPr>
            </w:pPr>
            <w:r>
              <w:rPr>
                <w:rFonts w:asciiTheme="minorEastAsia" w:eastAsiaTheme="minorEastAsia" w:hAnsiTheme="minorEastAsia" w:hint="eastAsia"/>
                <w:sz w:val="24"/>
              </w:rPr>
              <w:t>（五）</w:t>
            </w:r>
          </w:p>
        </w:tc>
        <w:tc>
          <w:tcPr>
            <w:tcW w:w="708" w:type="dxa"/>
            <w:vAlign w:val="center"/>
          </w:tcPr>
          <w:p>
            <w:pPr>
              <w:jc w:val="center"/>
              <w:rPr>
                <w:rFonts w:ascii="宋体" w:hAnsi="宋体" w:cs="宋体"/>
                <w:sz w:val="24"/>
              </w:rPr>
            </w:pPr>
            <w:r>
              <w:rPr>
                <w:rFonts w:ascii="宋体" w:hAnsi="宋体" w:cs="宋体" w:hint="eastAsia"/>
                <w:sz w:val="24"/>
              </w:rPr>
              <w:t>1.</w:t>
            </w:r>
          </w:p>
        </w:tc>
        <w:tc>
          <w:tcPr>
            <w:tcW w:w="1418" w:type="dxa"/>
            <w:vAlign w:val="center"/>
          </w:tcPr>
          <w:p>
            <w:pPr>
              <w:jc w:val="center"/>
              <w:rPr>
                <w:rFonts w:ascii="宋体" w:hAnsi="宋体" w:cs="宋体"/>
                <w:sz w:val="24"/>
              </w:rPr>
            </w:pPr>
            <w:r>
              <w:rPr>
                <w:rFonts w:ascii="宋体" w:hAnsi="宋体" w:cs="宋体" w:hint="eastAsia"/>
                <w:sz w:val="24"/>
              </w:rPr>
              <w:t>投标报价</w:t>
            </w:r>
          </w:p>
        </w:tc>
        <w:tc>
          <w:tcPr>
            <w:tcW w:w="6546" w:type="dxa"/>
            <w:vAlign w:val="center"/>
          </w:tcPr>
          <w:p>
            <w:pPr>
              <w:pStyle w:val="ListParagraph"/>
              <w:tabs>
                <w:tab w:val="left" w:pos="459"/>
                <w:tab w:val="left" w:pos="601"/>
              </w:tabs>
              <w:adjustRightInd w:val="0"/>
              <w:snapToGrid w:val="0"/>
              <w:ind w:firstLine="0" w:firstLineChars="0"/>
              <w:rPr>
                <w:rFonts w:asciiTheme="minorEastAsia" w:eastAsiaTheme="minorEastAsia" w:hAnsiTheme="minorEastAsia" w:cs="宋体"/>
                <w:sz w:val="24"/>
              </w:rPr>
            </w:pPr>
            <w:r>
              <w:rPr>
                <w:rFonts w:asciiTheme="minorEastAsia" w:eastAsiaTheme="minorEastAsia" w:hAnsiTheme="minorEastAsia" w:cs="宋体" w:hint="eastAsia"/>
                <w:sz w:val="24"/>
              </w:rPr>
              <w:t>（1）投标报价（总价）中不得包含招标文件要求以外的内容，否则，在评标时不予核减。</w:t>
            </w:r>
          </w:p>
          <w:p>
            <w:pPr>
              <w:pStyle w:val="ListParagraph"/>
              <w:tabs>
                <w:tab w:val="left" w:pos="459"/>
                <w:tab w:val="left" w:pos="601"/>
              </w:tabs>
              <w:adjustRightInd w:val="0"/>
              <w:snapToGrid w:val="0"/>
              <w:ind w:firstLine="0" w:firstLineChars="0"/>
              <w:rPr>
                <w:rFonts w:ascii="宋体" w:hAnsi="宋体" w:cs="宋体"/>
                <w:color w:val="00B0F0"/>
                <w:sz w:val="24"/>
              </w:rPr>
            </w:pPr>
            <w:r>
              <w:rPr>
                <w:rFonts w:asciiTheme="minorEastAsia" w:eastAsiaTheme="minorEastAsia" w:hAnsiTheme="minorEastAsia" w:cs="宋体" w:hint="eastAsia"/>
                <w:sz w:val="24"/>
              </w:rPr>
              <w:t>（2）若投标报价有缺漏项的，缺漏项部分的价格视为已包含在投标报价中，中标后不作任何调整。</w:t>
            </w:r>
          </w:p>
        </w:tc>
      </w:tr>
      <w:tr>
        <w:tblPrEx>
          <w:tblW w:w="9986" w:type="dxa"/>
          <w:jc w:val="center"/>
          <w:tblLayout w:type="fixed"/>
          <w:tblCellMar>
            <w:top w:w="0" w:type="dxa"/>
            <w:left w:w="108" w:type="dxa"/>
            <w:bottom w:w="0" w:type="dxa"/>
            <w:right w:w="108" w:type="dxa"/>
          </w:tblCellMar>
        </w:tblPrEx>
        <w:trPr>
          <w:trHeight w:val="1320"/>
          <w:jc w:val="center"/>
        </w:trPr>
        <w:tc>
          <w:tcPr>
            <w:tcW w:w="1314" w:type="dxa"/>
            <w:vMerge/>
            <w:vAlign w:val="center"/>
          </w:tcPr>
          <w:p>
            <w:pPr>
              <w:jc w:val="center"/>
              <w:rPr>
                <w:rFonts w:asciiTheme="minorEastAsia" w:eastAsiaTheme="minorEastAsia" w:hAnsiTheme="minorEastAsia"/>
                <w:sz w:val="24"/>
              </w:rPr>
            </w:pPr>
          </w:p>
        </w:tc>
        <w:tc>
          <w:tcPr>
            <w:tcW w:w="708" w:type="dxa"/>
            <w:vAlign w:val="center"/>
          </w:tcPr>
          <w:p>
            <w:pPr>
              <w:jc w:val="center"/>
              <w:rPr>
                <w:rFonts w:ascii="宋体" w:hAnsi="宋体" w:cs="宋体"/>
                <w:color w:val="00B0F0"/>
                <w:sz w:val="24"/>
              </w:rPr>
            </w:pPr>
            <w:r>
              <w:rPr>
                <w:rFonts w:asciiTheme="minorEastAsia" w:eastAsiaTheme="minorEastAsia" w:hAnsiTheme="minorEastAsia" w:hint="eastAsia"/>
                <w:sz w:val="24"/>
              </w:rPr>
              <w:t>2.</w:t>
            </w:r>
          </w:p>
        </w:tc>
        <w:tc>
          <w:tcPr>
            <w:tcW w:w="1418" w:type="dxa"/>
            <w:vAlign w:val="center"/>
          </w:tcPr>
          <w:p>
            <w:pPr>
              <w:jc w:val="center"/>
              <w:rPr>
                <w:rFonts w:ascii="宋体" w:hAnsi="宋体" w:cs="宋体"/>
                <w:color w:val="00B0F0"/>
                <w:sz w:val="24"/>
              </w:rPr>
            </w:pPr>
            <w:r>
              <w:rPr>
                <w:rFonts w:ascii="宋体" w:hAnsi="宋体" w:cs="宋体" w:hint="eastAsia"/>
                <w:sz w:val="24"/>
              </w:rPr>
              <w:t>投标分项报价</w:t>
            </w:r>
          </w:p>
        </w:tc>
        <w:tc>
          <w:tcPr>
            <w:tcW w:w="6546" w:type="dxa"/>
            <w:vAlign w:val="center"/>
          </w:tcPr>
          <w:p>
            <w:pPr>
              <w:tabs>
                <w:tab w:val="left" w:pos="459"/>
                <w:tab w:val="left" w:pos="601"/>
              </w:tabs>
              <w:adjustRightInd w:val="0"/>
              <w:snapToGrid w:val="0"/>
              <w:rPr>
                <w:rFonts w:ascii="宋体" w:hAnsi="宋体" w:cs="宋体"/>
                <w:color w:val="00B0F0"/>
                <w:sz w:val="24"/>
              </w:rPr>
            </w:pPr>
            <w:r>
              <w:rPr>
                <w:rFonts w:asciiTheme="minorEastAsia" w:eastAsiaTheme="minorEastAsia" w:hAnsiTheme="minorEastAsia" w:cs="宋体" w:hint="eastAsia"/>
                <w:sz w:val="24"/>
                <w:lang w:val="zh-CN"/>
              </w:rPr>
              <w:t>包</w:t>
            </w:r>
            <w:r>
              <w:rPr>
                <w:rFonts w:asciiTheme="minorEastAsia" w:eastAsiaTheme="minorEastAsia" w:hAnsiTheme="minorEastAsia" w:cs="宋体"/>
                <w:sz w:val="24"/>
                <w:lang w:val="zh-CN"/>
              </w:rPr>
              <w:t>括但不</w:t>
            </w:r>
            <w:r>
              <w:rPr>
                <w:rFonts w:asciiTheme="minorEastAsia" w:eastAsiaTheme="minorEastAsia" w:hAnsiTheme="minorEastAsia" w:cs="宋体" w:hint="eastAsia"/>
                <w:sz w:val="24"/>
                <w:lang w:val="zh-CN"/>
              </w:rPr>
              <w:t>仅仅</w:t>
            </w:r>
            <w:r>
              <w:rPr>
                <w:rFonts w:asciiTheme="minorEastAsia" w:eastAsiaTheme="minorEastAsia" w:hAnsiTheme="minorEastAsia" w:cs="宋体"/>
                <w:sz w:val="24"/>
                <w:lang w:val="zh-CN"/>
              </w:rPr>
              <w:t>限于</w:t>
            </w:r>
            <w:r>
              <w:rPr>
                <w:rFonts w:asciiTheme="minorEastAsia" w:eastAsiaTheme="minorEastAsia" w:hAnsiTheme="minorEastAsia" w:cs="宋体" w:hint="eastAsia"/>
                <w:sz w:val="24"/>
                <w:lang w:val="zh-CN"/>
              </w:rPr>
              <w:t>：</w:t>
            </w:r>
            <w:r>
              <w:rPr>
                <w:rFonts w:asciiTheme="minorEastAsia" w:eastAsiaTheme="minorEastAsia" w:hAnsiTheme="minorEastAsia" w:cs="宋体"/>
                <w:sz w:val="24"/>
                <w:lang w:val="zh-CN"/>
              </w:rPr>
              <w:t>项目的</w:t>
            </w:r>
            <w:r>
              <w:rPr>
                <w:rFonts w:asciiTheme="minorEastAsia" w:eastAsiaTheme="minorEastAsia" w:hAnsiTheme="minorEastAsia" w:cs="宋体" w:hint="eastAsia"/>
                <w:sz w:val="24"/>
                <w:lang w:val="zh-CN"/>
              </w:rPr>
              <w:t>服务价格、应向中华人民共和国政府缴纳的增值税和其它税等全部税费</w:t>
            </w:r>
            <w:r>
              <w:rPr>
                <w:rFonts w:asciiTheme="minorEastAsia" w:eastAsiaTheme="minorEastAsia" w:hAnsiTheme="minorEastAsia" w:cs="宋体"/>
                <w:sz w:val="24"/>
                <w:lang w:val="zh-CN"/>
              </w:rPr>
              <w:t>以及</w:t>
            </w:r>
            <w:r>
              <w:rPr>
                <w:rFonts w:asciiTheme="minorEastAsia" w:eastAsiaTheme="minorEastAsia" w:hAnsiTheme="minorEastAsia" w:cs="宋体" w:hint="eastAsia"/>
                <w:sz w:val="24"/>
                <w:lang w:val="zh-CN"/>
              </w:rPr>
              <w:t>履行合同所需的费用、</w:t>
            </w:r>
            <w:r>
              <w:rPr>
                <w:rFonts w:asciiTheme="minorEastAsia" w:eastAsiaTheme="minorEastAsia" w:hAnsiTheme="minorEastAsia" w:cs="宋体"/>
                <w:sz w:val="24"/>
                <w:lang w:val="zh-CN"/>
              </w:rPr>
              <w:t>所有风险、责任等</w:t>
            </w:r>
            <w:r>
              <w:rPr>
                <w:rFonts w:asciiTheme="minorEastAsia" w:eastAsiaTheme="minorEastAsia" w:hAnsiTheme="minorEastAsia" w:cs="宋体" w:hint="eastAsia"/>
                <w:sz w:val="24"/>
                <w:lang w:val="zh-CN"/>
              </w:rPr>
              <w:t>其他一切隐含及不可预见的费用。</w:t>
            </w:r>
          </w:p>
        </w:tc>
      </w:tr>
      <w:tr>
        <w:tblPrEx>
          <w:tblW w:w="9986" w:type="dxa"/>
          <w:jc w:val="center"/>
          <w:tblLayout w:type="fixed"/>
          <w:tblCellMar>
            <w:top w:w="0" w:type="dxa"/>
            <w:left w:w="108" w:type="dxa"/>
            <w:bottom w:w="0" w:type="dxa"/>
            <w:right w:w="108" w:type="dxa"/>
          </w:tblCellMar>
        </w:tblPrEx>
        <w:trPr>
          <w:trHeight w:val="824"/>
          <w:jc w:val="center"/>
        </w:trPr>
        <w:tc>
          <w:tcPr>
            <w:tcW w:w="1314" w:type="dxa"/>
            <w:vMerge/>
            <w:vAlign w:val="center"/>
          </w:tcPr>
          <w:p>
            <w:pPr>
              <w:jc w:val="center"/>
              <w:rPr>
                <w:rFonts w:asciiTheme="minorEastAsia" w:eastAsiaTheme="minorEastAsia" w:hAnsiTheme="minorEastAsia"/>
                <w:sz w:val="24"/>
              </w:rPr>
            </w:pPr>
          </w:p>
        </w:tc>
        <w:tc>
          <w:tcPr>
            <w:tcW w:w="708" w:type="dxa"/>
            <w:vAlign w:val="center"/>
          </w:tcPr>
          <w:p>
            <w:pPr>
              <w:jc w:val="center"/>
              <w:rPr>
                <w:rFonts w:asciiTheme="minorEastAsia" w:eastAsiaTheme="minorEastAsia" w:hAnsiTheme="minorEastAsia"/>
                <w:sz w:val="24"/>
              </w:rPr>
            </w:pPr>
            <w:r>
              <w:rPr>
                <w:rFonts w:asciiTheme="minorEastAsia" w:eastAsiaTheme="minorEastAsia" w:hAnsiTheme="minorEastAsia" w:hint="eastAsia"/>
                <w:sz w:val="24"/>
              </w:rPr>
              <w:t>4.</w:t>
            </w:r>
          </w:p>
        </w:tc>
        <w:tc>
          <w:tcPr>
            <w:tcW w:w="1418" w:type="dxa"/>
            <w:vAlign w:val="center"/>
          </w:tcPr>
          <w:p>
            <w:pPr>
              <w:jc w:val="center"/>
              <w:rPr>
                <w:rFonts w:ascii="宋体" w:hAnsi="宋体" w:cs="宋体"/>
                <w:sz w:val="24"/>
              </w:rPr>
            </w:pPr>
            <w:r>
              <w:rPr>
                <w:rFonts w:ascii="宋体" w:hAnsi="宋体" w:cs="宋体" w:hint="eastAsia"/>
                <w:sz w:val="24"/>
              </w:rPr>
              <w:t>备选方案</w:t>
            </w:r>
          </w:p>
        </w:tc>
        <w:tc>
          <w:tcPr>
            <w:tcW w:w="6546" w:type="dxa"/>
            <w:vAlign w:val="center"/>
          </w:tcPr>
          <w:p>
            <w:pPr>
              <w:tabs>
                <w:tab w:val="left" w:pos="459"/>
                <w:tab w:val="left" w:pos="601"/>
              </w:tabs>
              <w:adjustRightInd w:val="0"/>
              <w:snapToGrid w:val="0"/>
              <w:rPr>
                <w:rFonts w:asciiTheme="minorEastAsia" w:eastAsiaTheme="minorEastAsia" w:hAnsiTheme="minorEastAsia" w:cs="宋体"/>
                <w:sz w:val="24"/>
                <w:lang w:val="zh-CN"/>
              </w:rPr>
            </w:pPr>
            <w:r>
              <w:rPr>
                <w:rFonts w:asciiTheme="minorEastAsia" w:eastAsiaTheme="minorEastAsia" w:hAnsiTheme="minorEastAsia" w:cs="宋体" w:hint="eastAsia"/>
                <w:sz w:val="24"/>
                <w:lang w:val="zh-CN"/>
              </w:rPr>
              <w:t>不允许,每项报价或每种规格货物或每项服务只允许有一个报价，否则将被视为无效投标。</w:t>
            </w:r>
          </w:p>
        </w:tc>
      </w:tr>
      <w:tr>
        <w:tblPrEx>
          <w:tblW w:w="9986" w:type="dxa"/>
          <w:jc w:val="center"/>
          <w:tblLayout w:type="fixed"/>
          <w:tblCellMar>
            <w:top w:w="0" w:type="dxa"/>
            <w:left w:w="108" w:type="dxa"/>
            <w:bottom w:w="0" w:type="dxa"/>
            <w:right w:w="108" w:type="dxa"/>
          </w:tblCellMar>
        </w:tblPrEx>
        <w:trPr>
          <w:trHeight w:val="542"/>
          <w:jc w:val="center"/>
        </w:trPr>
        <w:tc>
          <w:tcPr>
            <w:tcW w:w="1314" w:type="dxa"/>
            <w:vAlign w:val="center"/>
          </w:tcPr>
          <w:p>
            <w:pPr>
              <w:jc w:val="center"/>
              <w:rPr>
                <w:rFonts w:asciiTheme="minorEastAsia" w:eastAsiaTheme="minorEastAsia" w:hAnsiTheme="minorEastAsia"/>
                <w:sz w:val="24"/>
              </w:rPr>
            </w:pPr>
            <w:r>
              <w:rPr>
                <w:rFonts w:asciiTheme="minorEastAsia" w:eastAsiaTheme="minorEastAsia" w:hAnsiTheme="minorEastAsia" w:hint="eastAsia"/>
                <w:sz w:val="24"/>
              </w:rPr>
              <w:t>（十一）</w:t>
            </w:r>
          </w:p>
        </w:tc>
        <w:tc>
          <w:tcPr>
            <w:tcW w:w="708" w:type="dxa"/>
            <w:vAlign w:val="center"/>
          </w:tcPr>
          <w:p>
            <w:pPr>
              <w:jc w:val="center"/>
              <w:rPr>
                <w:rFonts w:asciiTheme="minorEastAsia" w:eastAsiaTheme="minorEastAsia" w:hAnsiTheme="minorEastAsia"/>
                <w:sz w:val="24"/>
              </w:rPr>
            </w:pPr>
            <w:r>
              <w:rPr>
                <w:rFonts w:asciiTheme="minorEastAsia" w:eastAsiaTheme="minorEastAsia" w:hAnsiTheme="minorEastAsia"/>
                <w:sz w:val="24"/>
              </w:rPr>
              <w:t>1</w:t>
            </w:r>
            <w:r>
              <w:rPr>
                <w:rFonts w:asciiTheme="minorEastAsia" w:eastAsiaTheme="minorEastAsia" w:hAnsiTheme="minorEastAsia" w:hint="eastAsia"/>
                <w:sz w:val="24"/>
              </w:rPr>
              <w:t>.</w:t>
            </w:r>
          </w:p>
        </w:tc>
        <w:tc>
          <w:tcPr>
            <w:tcW w:w="1418" w:type="dxa"/>
            <w:vAlign w:val="center"/>
          </w:tcPr>
          <w:p>
            <w:pPr>
              <w:jc w:val="center"/>
              <w:rPr>
                <w:rFonts w:asciiTheme="minorEastAsia" w:eastAsiaTheme="minorEastAsia" w:hAnsiTheme="minorEastAsia"/>
                <w:sz w:val="24"/>
              </w:rPr>
            </w:pPr>
            <w:r>
              <w:rPr>
                <w:rFonts w:asciiTheme="minorEastAsia" w:eastAsiaTheme="minorEastAsia" w:hAnsiTheme="minorEastAsia"/>
                <w:sz w:val="24"/>
              </w:rPr>
              <w:t>投标有效期</w:t>
            </w:r>
          </w:p>
        </w:tc>
        <w:tc>
          <w:tcPr>
            <w:tcW w:w="6546" w:type="dxa"/>
            <w:vAlign w:val="center"/>
          </w:tcPr>
          <w:p>
            <w:pPr>
              <w:rPr>
                <w:rFonts w:asciiTheme="minorEastAsia" w:eastAsiaTheme="minorEastAsia" w:hAnsiTheme="minorEastAsia"/>
                <w:sz w:val="24"/>
              </w:rPr>
            </w:pPr>
            <w:r>
              <w:rPr>
                <w:rFonts w:asciiTheme="minorEastAsia" w:eastAsiaTheme="minorEastAsia" w:hAnsiTheme="minorEastAsia"/>
                <w:sz w:val="24"/>
                <w:u w:val="single"/>
              </w:rPr>
              <w:t>90</w:t>
            </w:r>
            <w:r>
              <w:rPr>
                <w:rFonts w:asciiTheme="minorEastAsia" w:eastAsiaTheme="minorEastAsia" w:hAnsiTheme="minorEastAsia" w:hint="eastAsia"/>
                <w:sz w:val="24"/>
              </w:rPr>
              <w:t>日历日。</w:t>
            </w:r>
            <w:r>
              <w:rPr>
                <w:rFonts w:ascii="宋体" w:hAnsi="宋体" w:cs="宋体" w:hint="eastAsia"/>
                <w:sz w:val="24"/>
                <w:lang w:eastAsia="zh-TW"/>
              </w:rPr>
              <w:t>投标有效期不足的投标</w:t>
            </w:r>
            <w:r>
              <w:rPr>
                <w:rFonts w:ascii="宋体" w:hAnsi="宋体" w:cs="宋体" w:hint="eastAsia"/>
                <w:sz w:val="24"/>
              </w:rPr>
              <w:t>，</w:t>
            </w:r>
            <w:r>
              <w:rPr>
                <w:rFonts w:ascii="宋体" w:hAnsi="宋体" w:cs="宋体" w:hint="eastAsia"/>
                <w:sz w:val="24"/>
                <w:lang w:eastAsia="zh-TW"/>
              </w:rPr>
              <w:t>将被</w:t>
            </w:r>
            <w:r>
              <w:rPr>
                <w:rFonts w:ascii="宋体" w:hAnsi="宋体" w:cs="宋体" w:hint="eastAsia"/>
                <w:sz w:val="24"/>
              </w:rPr>
              <w:t>视为</w:t>
            </w:r>
            <w:r>
              <w:rPr>
                <w:rFonts w:ascii="宋体" w:hAnsi="宋体" w:cs="宋体" w:hint="eastAsia"/>
                <w:b/>
                <w:sz w:val="24"/>
              </w:rPr>
              <w:t>无效投标</w:t>
            </w:r>
            <w:r>
              <w:rPr>
                <w:rFonts w:ascii="宋体" w:hAnsi="宋体" w:cs="宋体" w:hint="eastAsia"/>
                <w:sz w:val="24"/>
              </w:rPr>
              <w:t>。</w:t>
            </w:r>
          </w:p>
        </w:tc>
      </w:tr>
      <w:tr>
        <w:tblPrEx>
          <w:tblW w:w="9986" w:type="dxa"/>
          <w:jc w:val="center"/>
          <w:tblLayout w:type="fixed"/>
          <w:tblCellMar>
            <w:top w:w="0" w:type="dxa"/>
            <w:left w:w="108" w:type="dxa"/>
            <w:bottom w:w="0" w:type="dxa"/>
            <w:right w:w="108" w:type="dxa"/>
          </w:tblCellMar>
        </w:tblPrEx>
        <w:trPr>
          <w:trHeight w:val="421"/>
          <w:jc w:val="center"/>
        </w:trPr>
        <w:tc>
          <w:tcPr>
            <w:tcW w:w="9986" w:type="dxa"/>
            <w:gridSpan w:val="4"/>
            <w:vAlign w:val="center"/>
          </w:tcPr>
          <w:p>
            <w:pPr>
              <w:jc w:val="center"/>
              <w:rPr>
                <w:rFonts w:asciiTheme="minorEastAsia" w:eastAsiaTheme="minorEastAsia" w:hAnsiTheme="minorEastAsia"/>
                <w:b/>
                <w:sz w:val="24"/>
              </w:rPr>
            </w:pPr>
            <w:r>
              <w:rPr>
                <w:rFonts w:asciiTheme="minorEastAsia" w:eastAsiaTheme="minorEastAsia" w:hAnsiTheme="minorEastAsia" w:hint="eastAsia"/>
                <w:b/>
                <w:sz w:val="24"/>
              </w:rPr>
              <w:t>五、开标、评标、定标与合同签订</w:t>
            </w:r>
          </w:p>
        </w:tc>
      </w:tr>
      <w:tr>
        <w:tblPrEx>
          <w:tblW w:w="9986" w:type="dxa"/>
          <w:jc w:val="center"/>
          <w:tblLayout w:type="fixed"/>
          <w:tblCellMar>
            <w:top w:w="0" w:type="dxa"/>
            <w:left w:w="108" w:type="dxa"/>
            <w:bottom w:w="0" w:type="dxa"/>
            <w:right w:w="108" w:type="dxa"/>
          </w:tblCellMar>
        </w:tblPrEx>
        <w:trPr>
          <w:trHeight w:val="699"/>
          <w:jc w:val="center"/>
        </w:trPr>
        <w:tc>
          <w:tcPr>
            <w:tcW w:w="1314" w:type="dxa"/>
            <w:vMerge w:val="restart"/>
            <w:vAlign w:val="center"/>
          </w:tcPr>
          <w:p>
            <w:pPr>
              <w:jc w:val="center"/>
              <w:rPr>
                <w:rFonts w:asciiTheme="minorEastAsia" w:eastAsiaTheme="minorEastAsia" w:hAnsiTheme="minorEastAsia"/>
                <w:sz w:val="24"/>
              </w:rPr>
            </w:pPr>
            <w:r>
              <w:rPr>
                <w:rFonts w:asciiTheme="minorEastAsia" w:eastAsiaTheme="minorEastAsia" w:hAnsiTheme="minorEastAsia" w:hint="eastAsia"/>
                <w:sz w:val="24"/>
              </w:rPr>
              <w:t>（二）</w:t>
            </w:r>
          </w:p>
        </w:tc>
        <w:tc>
          <w:tcPr>
            <w:tcW w:w="708" w:type="dxa"/>
            <w:vAlign w:val="center"/>
          </w:tcPr>
          <w:p>
            <w:pPr>
              <w:jc w:val="center"/>
              <w:rPr>
                <w:rFonts w:asciiTheme="minorEastAsia" w:eastAsiaTheme="minorEastAsia" w:hAnsiTheme="minorEastAsia"/>
                <w:sz w:val="24"/>
              </w:rPr>
            </w:pPr>
            <w:r>
              <w:rPr>
                <w:rFonts w:asciiTheme="minorEastAsia" w:eastAsiaTheme="minorEastAsia" w:hAnsiTheme="minorEastAsia" w:hint="eastAsia"/>
                <w:sz w:val="24"/>
              </w:rPr>
              <w:t>1.</w:t>
            </w:r>
          </w:p>
        </w:tc>
        <w:tc>
          <w:tcPr>
            <w:tcW w:w="1418" w:type="dxa"/>
            <w:vAlign w:val="center"/>
          </w:tcPr>
          <w:p>
            <w:pPr>
              <w:jc w:val="center"/>
              <w:rPr>
                <w:rFonts w:asciiTheme="minorEastAsia" w:eastAsiaTheme="minorEastAsia" w:hAnsiTheme="minorEastAsia"/>
                <w:sz w:val="24"/>
              </w:rPr>
            </w:pPr>
            <w:r>
              <w:rPr>
                <w:rFonts w:asciiTheme="minorEastAsia" w:eastAsiaTheme="minorEastAsia" w:hAnsiTheme="minorEastAsia" w:hint="eastAsia"/>
                <w:sz w:val="24"/>
              </w:rPr>
              <w:t>评审委员会成员人数</w:t>
            </w:r>
          </w:p>
        </w:tc>
        <w:tc>
          <w:tcPr>
            <w:tcW w:w="6546" w:type="dxa"/>
            <w:vAlign w:val="center"/>
          </w:tcPr>
          <w:p>
            <w:pPr>
              <w:spacing w:line="360" w:lineRule="auto"/>
              <w:jc w:val="left"/>
              <w:rPr>
                <w:rFonts w:asciiTheme="minorEastAsia" w:eastAsiaTheme="minorEastAsia" w:hAnsiTheme="minorEastAsia"/>
                <w:bCs/>
                <w:sz w:val="24"/>
              </w:rPr>
            </w:pPr>
            <w:r>
              <w:rPr>
                <w:rFonts w:asciiTheme="minorEastAsia" w:eastAsiaTheme="minorEastAsia" w:hAnsiTheme="minorEastAsia" w:hint="eastAsia"/>
                <w:bCs/>
                <w:sz w:val="24"/>
              </w:rPr>
              <w:t>5人</w:t>
            </w:r>
          </w:p>
        </w:tc>
      </w:tr>
      <w:tr>
        <w:tblPrEx>
          <w:tblW w:w="9986" w:type="dxa"/>
          <w:jc w:val="center"/>
          <w:tblLayout w:type="fixed"/>
          <w:tblCellMar>
            <w:top w:w="0" w:type="dxa"/>
            <w:left w:w="108" w:type="dxa"/>
            <w:bottom w:w="0" w:type="dxa"/>
            <w:right w:w="108" w:type="dxa"/>
          </w:tblCellMar>
        </w:tblPrEx>
        <w:trPr>
          <w:trHeight w:val="899"/>
          <w:jc w:val="center"/>
        </w:trPr>
        <w:tc>
          <w:tcPr>
            <w:tcW w:w="1314" w:type="dxa"/>
            <w:vMerge/>
            <w:vAlign w:val="center"/>
          </w:tcPr>
          <w:p>
            <w:pPr>
              <w:jc w:val="center"/>
              <w:rPr>
                <w:rFonts w:asciiTheme="minorEastAsia" w:eastAsiaTheme="minorEastAsia" w:hAnsiTheme="minorEastAsia"/>
                <w:sz w:val="24"/>
              </w:rPr>
            </w:pPr>
          </w:p>
        </w:tc>
        <w:tc>
          <w:tcPr>
            <w:tcW w:w="708" w:type="dxa"/>
            <w:vMerge w:val="restart"/>
            <w:vAlign w:val="center"/>
          </w:tcPr>
          <w:p>
            <w:pPr>
              <w:jc w:val="center"/>
              <w:rPr>
                <w:rFonts w:asciiTheme="minorEastAsia" w:eastAsiaTheme="minorEastAsia" w:hAnsiTheme="minorEastAsia"/>
                <w:sz w:val="24"/>
              </w:rPr>
            </w:pPr>
            <w:r>
              <w:rPr>
                <w:rFonts w:asciiTheme="minorEastAsia" w:eastAsiaTheme="minorEastAsia" w:hAnsiTheme="minorEastAsia" w:hint="eastAsia"/>
                <w:sz w:val="24"/>
              </w:rPr>
              <w:t>2.</w:t>
            </w:r>
          </w:p>
        </w:tc>
        <w:tc>
          <w:tcPr>
            <w:tcW w:w="1418" w:type="dxa"/>
            <w:vAlign w:val="center"/>
          </w:tcPr>
          <w:p>
            <w:pPr>
              <w:jc w:val="center"/>
              <w:rPr>
                <w:rFonts w:asciiTheme="minorEastAsia" w:eastAsiaTheme="minorEastAsia" w:hAnsiTheme="minorEastAsia"/>
                <w:sz w:val="24"/>
              </w:rPr>
            </w:pPr>
            <w:r>
              <w:rPr>
                <w:rFonts w:asciiTheme="minorEastAsia" w:eastAsiaTheme="minorEastAsia" w:hAnsiTheme="minorEastAsia" w:hint="eastAsia"/>
                <w:bCs/>
                <w:sz w:val="24"/>
              </w:rPr>
              <w:t>评标方法</w:t>
            </w:r>
          </w:p>
        </w:tc>
        <w:tc>
          <w:tcPr>
            <w:tcW w:w="6546" w:type="dxa"/>
            <w:vAlign w:val="center"/>
          </w:tcPr>
          <w:p>
            <w:pPr>
              <w:spacing w:line="360" w:lineRule="auto"/>
              <w:jc w:val="left"/>
              <w:rPr>
                <w:rFonts w:asciiTheme="minorEastAsia" w:eastAsiaTheme="minorEastAsia" w:hAnsiTheme="minorEastAsia"/>
                <w:bCs/>
                <w:sz w:val="24"/>
                <w:u w:val="single"/>
              </w:rPr>
            </w:pPr>
            <w:r>
              <w:rPr>
                <w:rFonts w:asciiTheme="minorEastAsia" w:eastAsiaTheme="minorEastAsia" w:hAnsiTheme="minorEastAsia" w:hint="eastAsia"/>
                <w:bCs/>
                <w:sz w:val="24"/>
              </w:rPr>
              <w:t>选取方法：</w:t>
            </w:r>
            <w:r>
              <w:rPr>
                <w:rFonts w:asciiTheme="minorEastAsia" w:eastAsiaTheme="minorEastAsia" w:hAnsiTheme="minorEastAsia" w:hint="eastAsia"/>
                <w:bCs/>
                <w:sz w:val="24"/>
                <w:u w:val="single"/>
              </w:rPr>
              <w:t xml:space="preserve"> 方式一 </w:t>
            </w:r>
          </w:p>
          <w:p>
            <w:pPr>
              <w:spacing w:line="360" w:lineRule="auto"/>
              <w:jc w:val="left"/>
              <w:rPr>
                <w:rFonts w:asciiTheme="minorEastAsia" w:eastAsiaTheme="minorEastAsia" w:hAnsiTheme="minorEastAsia"/>
                <w:bCs/>
                <w:sz w:val="24"/>
              </w:rPr>
            </w:pPr>
            <w:r>
              <w:rPr>
                <w:rFonts w:ascii="宋体" w:hAnsi="宋体" w:cs="宋体" w:hint="eastAsia"/>
                <w:sz w:val="24"/>
              </w:rPr>
              <w:t>方式一：</w:t>
            </w:r>
            <w:r>
              <w:rPr>
                <w:rFonts w:asciiTheme="minorEastAsia" w:eastAsiaTheme="minorEastAsia" w:hAnsiTheme="minorEastAsia" w:hint="eastAsia"/>
                <w:bCs/>
                <w:sz w:val="24"/>
              </w:rPr>
              <w:t>采用综合评分法</w:t>
            </w:r>
          </w:p>
          <w:p>
            <w:pPr>
              <w:spacing w:line="360" w:lineRule="auto"/>
              <w:jc w:val="left"/>
              <w:rPr>
                <w:rFonts w:asciiTheme="minorEastAsia" w:eastAsiaTheme="minorEastAsia" w:hAnsiTheme="minorEastAsia"/>
                <w:bCs/>
                <w:sz w:val="24"/>
              </w:rPr>
            </w:pPr>
            <w:r>
              <w:rPr>
                <w:rFonts w:ascii="宋体" w:hAnsi="宋体" w:cs="宋体" w:hint="eastAsia"/>
                <w:sz w:val="24"/>
              </w:rPr>
              <w:t>方式二：</w:t>
            </w:r>
            <w:r>
              <w:rPr>
                <w:rFonts w:asciiTheme="minorEastAsia" w:eastAsiaTheme="minorEastAsia" w:hAnsiTheme="minorEastAsia" w:hint="eastAsia"/>
                <w:bCs/>
                <w:sz w:val="24"/>
              </w:rPr>
              <w:t>最低评标价法</w:t>
            </w:r>
          </w:p>
        </w:tc>
      </w:tr>
      <w:tr>
        <w:tblPrEx>
          <w:tblW w:w="9986" w:type="dxa"/>
          <w:jc w:val="center"/>
          <w:tblLayout w:type="fixed"/>
          <w:tblCellMar>
            <w:top w:w="0" w:type="dxa"/>
            <w:left w:w="108" w:type="dxa"/>
            <w:bottom w:w="0" w:type="dxa"/>
            <w:right w:w="108" w:type="dxa"/>
          </w:tblCellMar>
        </w:tblPrEx>
        <w:trPr>
          <w:trHeight w:val="899"/>
          <w:jc w:val="center"/>
        </w:trPr>
        <w:tc>
          <w:tcPr>
            <w:tcW w:w="1314" w:type="dxa"/>
            <w:vMerge/>
            <w:vAlign w:val="center"/>
          </w:tcPr>
          <w:p>
            <w:pPr>
              <w:jc w:val="center"/>
              <w:rPr>
                <w:rFonts w:asciiTheme="minorEastAsia" w:eastAsiaTheme="minorEastAsia" w:hAnsiTheme="minorEastAsia"/>
                <w:sz w:val="24"/>
              </w:rPr>
            </w:pPr>
          </w:p>
        </w:tc>
        <w:tc>
          <w:tcPr>
            <w:tcW w:w="708" w:type="dxa"/>
            <w:vMerge/>
            <w:vAlign w:val="center"/>
          </w:tcPr>
          <w:p>
            <w:pPr>
              <w:jc w:val="center"/>
              <w:rPr>
                <w:rFonts w:asciiTheme="minorEastAsia" w:eastAsiaTheme="minorEastAsia" w:hAnsiTheme="minorEastAsia"/>
                <w:sz w:val="24"/>
              </w:rPr>
            </w:pPr>
          </w:p>
        </w:tc>
        <w:tc>
          <w:tcPr>
            <w:tcW w:w="1418" w:type="dxa"/>
            <w:vAlign w:val="center"/>
          </w:tcPr>
          <w:p>
            <w:pPr>
              <w:jc w:val="center"/>
              <w:rPr>
                <w:rFonts w:asciiTheme="minorEastAsia" w:eastAsiaTheme="minorEastAsia" w:hAnsiTheme="minorEastAsia"/>
                <w:bCs/>
                <w:sz w:val="24"/>
              </w:rPr>
            </w:pPr>
            <w:r>
              <w:rPr>
                <w:rFonts w:asciiTheme="minorEastAsia" w:eastAsiaTheme="minorEastAsia" w:hAnsiTheme="minorEastAsia" w:hint="eastAsia"/>
                <w:bCs/>
                <w:sz w:val="24"/>
              </w:rPr>
              <w:t>投标文件报价修正原则</w:t>
            </w:r>
          </w:p>
        </w:tc>
        <w:tc>
          <w:tcPr>
            <w:tcW w:w="6546" w:type="dxa"/>
            <w:vAlign w:val="center"/>
          </w:tcPr>
          <w:p>
            <w:pPr>
              <w:jc w:val="center"/>
              <w:rPr>
                <w:rFonts w:asciiTheme="minorEastAsia" w:eastAsiaTheme="minorEastAsia" w:hAnsiTheme="minorEastAsia" w:hint="default"/>
                <w:bCs/>
                <w:sz w:val="24"/>
                <w:lang w:val="en-US" w:eastAsia="zh-CN"/>
              </w:rPr>
            </w:pPr>
            <w:r>
              <w:rPr>
                <w:rFonts w:asciiTheme="minorEastAsia" w:eastAsiaTheme="minorEastAsia" w:hAnsiTheme="minorEastAsia" w:hint="eastAsia"/>
                <w:bCs/>
                <w:sz w:val="24"/>
                <w:lang w:val="en-US" w:eastAsia="zh-CN"/>
              </w:rPr>
              <w:t>/</w:t>
            </w:r>
          </w:p>
        </w:tc>
      </w:tr>
      <w:tr>
        <w:tblPrEx>
          <w:tblW w:w="9986" w:type="dxa"/>
          <w:jc w:val="center"/>
          <w:tblLayout w:type="fixed"/>
          <w:tblCellMar>
            <w:top w:w="0" w:type="dxa"/>
            <w:left w:w="108" w:type="dxa"/>
            <w:bottom w:w="0" w:type="dxa"/>
            <w:right w:w="108" w:type="dxa"/>
          </w:tblCellMar>
        </w:tblPrEx>
        <w:trPr>
          <w:trHeight w:val="2050"/>
          <w:jc w:val="center"/>
        </w:trPr>
        <w:tc>
          <w:tcPr>
            <w:tcW w:w="1314" w:type="dxa"/>
            <w:vAlign w:val="center"/>
          </w:tcPr>
          <w:p>
            <w:pPr>
              <w:jc w:val="center"/>
              <w:rPr>
                <w:rFonts w:asciiTheme="minorEastAsia" w:eastAsiaTheme="minorEastAsia" w:hAnsiTheme="minorEastAsia"/>
                <w:sz w:val="24"/>
              </w:rPr>
            </w:pPr>
            <w:r>
              <w:rPr>
                <w:rFonts w:asciiTheme="minorEastAsia" w:eastAsiaTheme="minorEastAsia" w:hAnsiTheme="minorEastAsia" w:hint="eastAsia"/>
                <w:sz w:val="24"/>
              </w:rPr>
              <w:t>（三）</w:t>
            </w:r>
          </w:p>
        </w:tc>
        <w:tc>
          <w:tcPr>
            <w:tcW w:w="708" w:type="dxa"/>
            <w:vAlign w:val="center"/>
          </w:tcPr>
          <w:p>
            <w:pPr>
              <w:jc w:val="center"/>
              <w:rPr>
                <w:rFonts w:asciiTheme="minorEastAsia" w:eastAsiaTheme="minorEastAsia" w:hAnsiTheme="minorEastAsia"/>
                <w:sz w:val="24"/>
              </w:rPr>
            </w:pPr>
            <w:r>
              <w:rPr>
                <w:rFonts w:asciiTheme="minorEastAsia" w:eastAsiaTheme="minorEastAsia" w:hAnsiTheme="minorEastAsia"/>
                <w:sz w:val="24"/>
              </w:rPr>
              <w:t>1</w:t>
            </w:r>
            <w:r>
              <w:rPr>
                <w:rFonts w:asciiTheme="minorEastAsia" w:eastAsiaTheme="minorEastAsia" w:hAnsiTheme="minorEastAsia" w:hint="eastAsia"/>
                <w:sz w:val="24"/>
              </w:rPr>
              <w:t>.</w:t>
            </w:r>
          </w:p>
        </w:tc>
        <w:tc>
          <w:tcPr>
            <w:tcW w:w="1418" w:type="dxa"/>
            <w:vAlign w:val="center"/>
          </w:tcPr>
          <w:p>
            <w:pPr>
              <w:jc w:val="center"/>
              <w:rPr>
                <w:rFonts w:asciiTheme="minorEastAsia" w:eastAsiaTheme="minorEastAsia" w:hAnsiTheme="minorEastAsia"/>
                <w:bCs/>
                <w:color w:val="auto"/>
                <w:sz w:val="24"/>
              </w:rPr>
            </w:pPr>
            <w:r>
              <w:rPr>
                <w:rFonts w:asciiTheme="minorEastAsia" w:eastAsiaTheme="minorEastAsia" w:hAnsiTheme="minorEastAsia" w:hint="eastAsia"/>
                <w:bCs/>
                <w:color w:val="auto"/>
                <w:sz w:val="24"/>
              </w:rPr>
              <w:t>推荐中标候选人</w:t>
            </w:r>
          </w:p>
        </w:tc>
        <w:tc>
          <w:tcPr>
            <w:tcW w:w="6546" w:type="dxa"/>
            <w:vAlign w:val="center"/>
          </w:tcPr>
          <w:p>
            <w:pPr>
              <w:spacing w:line="360" w:lineRule="auto"/>
              <w:jc w:val="left"/>
              <w:rPr>
                <w:rFonts w:asciiTheme="minorEastAsia" w:eastAsiaTheme="minorEastAsia" w:hAnsiTheme="minorEastAsia"/>
                <w:bCs/>
                <w:color w:val="auto"/>
                <w:sz w:val="24"/>
                <w:u w:val="single"/>
              </w:rPr>
            </w:pPr>
            <w:r>
              <w:rPr>
                <w:rFonts w:asciiTheme="minorEastAsia" w:eastAsiaTheme="minorEastAsia" w:hAnsiTheme="minorEastAsia" w:hint="eastAsia"/>
                <w:bCs/>
                <w:color w:val="auto"/>
                <w:sz w:val="24"/>
              </w:rPr>
              <w:t>推荐方式：</w:t>
            </w:r>
            <w:r>
              <w:rPr>
                <w:rFonts w:asciiTheme="minorEastAsia" w:eastAsiaTheme="minorEastAsia" w:hAnsiTheme="minorEastAsia" w:hint="eastAsia"/>
                <w:bCs/>
                <w:color w:val="auto"/>
                <w:sz w:val="24"/>
                <w:u w:val="single"/>
              </w:rPr>
              <w:t xml:space="preserve"> 方式一 </w:t>
            </w:r>
          </w:p>
          <w:p>
            <w:pPr>
              <w:jc w:val="left"/>
              <w:rPr>
                <w:rFonts w:asciiTheme="minorEastAsia" w:eastAsiaTheme="minorEastAsia" w:hAnsiTheme="minorEastAsia"/>
                <w:bCs/>
                <w:color w:val="auto"/>
                <w:sz w:val="24"/>
              </w:rPr>
            </w:pPr>
            <w:r>
              <w:rPr>
                <w:rFonts w:ascii="宋体" w:hAnsi="宋体" w:cs="宋体" w:hint="eastAsia"/>
                <w:color w:val="auto"/>
                <w:sz w:val="24"/>
              </w:rPr>
              <w:t>方式一：</w:t>
            </w:r>
            <w:r>
              <w:rPr>
                <w:rFonts w:asciiTheme="minorEastAsia" w:eastAsiaTheme="minorEastAsia" w:hAnsiTheme="minorEastAsia" w:hint="eastAsia"/>
                <w:bCs/>
                <w:color w:val="auto"/>
                <w:sz w:val="24"/>
              </w:rPr>
              <w:t>综合评分法：推荐综合得分排名第一的投标人为第一中标候选人。</w:t>
            </w:r>
          </w:p>
          <w:p>
            <w:pPr>
              <w:jc w:val="left"/>
              <w:rPr>
                <w:rFonts w:asciiTheme="minorEastAsia" w:eastAsiaTheme="minorEastAsia" w:hAnsiTheme="minorEastAsia"/>
                <w:bCs/>
                <w:color w:val="auto"/>
                <w:sz w:val="24"/>
              </w:rPr>
            </w:pPr>
            <w:r>
              <w:rPr>
                <w:rFonts w:ascii="宋体" w:hAnsi="宋体" w:cs="宋体" w:hint="eastAsia"/>
                <w:color w:val="auto"/>
                <w:sz w:val="24"/>
              </w:rPr>
              <w:t>方式二：</w:t>
            </w:r>
            <w:r>
              <w:rPr>
                <w:rFonts w:asciiTheme="minorEastAsia" w:eastAsiaTheme="minorEastAsia" w:hAnsiTheme="minorEastAsia" w:hint="eastAsia"/>
                <w:bCs/>
                <w:color w:val="auto"/>
                <w:sz w:val="24"/>
              </w:rPr>
              <w:t>最低评标价法：按照投标报价由低到高的顺序推荐3名中标候选人</w:t>
            </w:r>
          </w:p>
          <w:p>
            <w:pPr>
              <w:jc w:val="left"/>
              <w:rPr>
                <w:rFonts w:asciiTheme="minorEastAsia" w:eastAsiaTheme="minorEastAsia" w:hAnsiTheme="minorEastAsia"/>
                <w:bCs/>
                <w:color w:val="auto"/>
                <w:sz w:val="24"/>
              </w:rPr>
            </w:pPr>
            <w:r>
              <w:rPr>
                <w:rFonts w:asciiTheme="minorEastAsia" w:eastAsiaTheme="minorEastAsia" w:hAnsiTheme="minorEastAsia" w:hint="eastAsia"/>
                <w:bCs/>
                <w:color w:val="auto"/>
                <w:sz w:val="24"/>
              </w:rPr>
              <w:t>方式三：</w:t>
            </w:r>
            <w:r>
              <w:rPr>
                <w:rFonts w:asciiTheme="minorEastAsia" w:eastAsiaTheme="minorEastAsia" w:hAnsiTheme="minorEastAsia" w:hint="eastAsia"/>
                <w:color w:val="auto"/>
                <w:sz w:val="24"/>
              </w:rPr>
              <w:t>评定分离项目，</w:t>
            </w:r>
            <w:r>
              <w:rPr>
                <w:rFonts w:asciiTheme="minorEastAsia" w:eastAsiaTheme="minorEastAsia" w:hAnsiTheme="minorEastAsia" w:hint="eastAsia"/>
                <w:bCs/>
                <w:color w:val="auto"/>
                <w:sz w:val="24"/>
              </w:rPr>
              <w:t>推荐3名合格的中标候选人。</w:t>
            </w:r>
          </w:p>
        </w:tc>
      </w:tr>
      <w:tr>
        <w:tblPrEx>
          <w:tblW w:w="9986" w:type="dxa"/>
          <w:jc w:val="center"/>
          <w:tblLayout w:type="fixed"/>
          <w:tblCellMar>
            <w:top w:w="0" w:type="dxa"/>
            <w:left w:w="108" w:type="dxa"/>
            <w:bottom w:w="0" w:type="dxa"/>
            <w:right w:w="108" w:type="dxa"/>
          </w:tblCellMar>
        </w:tblPrEx>
        <w:trPr>
          <w:trHeight w:val="1059"/>
          <w:jc w:val="center"/>
        </w:trPr>
        <w:tc>
          <w:tcPr>
            <w:tcW w:w="1314" w:type="dxa"/>
            <w:vMerge w:val="restart"/>
            <w:vAlign w:val="center"/>
          </w:tcPr>
          <w:p>
            <w:pPr>
              <w:jc w:val="center"/>
              <w:rPr>
                <w:rFonts w:asciiTheme="minorEastAsia" w:eastAsiaTheme="minorEastAsia" w:hAnsiTheme="minorEastAsia"/>
                <w:sz w:val="24"/>
              </w:rPr>
            </w:pPr>
            <w:r>
              <w:rPr>
                <w:rFonts w:asciiTheme="minorEastAsia" w:eastAsiaTheme="minorEastAsia" w:hAnsiTheme="minorEastAsia" w:hint="eastAsia"/>
                <w:sz w:val="24"/>
              </w:rPr>
              <w:t>（四）</w:t>
            </w:r>
          </w:p>
        </w:tc>
        <w:tc>
          <w:tcPr>
            <w:tcW w:w="708" w:type="dxa"/>
            <w:vMerge w:val="restart"/>
            <w:vAlign w:val="center"/>
          </w:tcPr>
          <w:p>
            <w:pPr>
              <w:jc w:val="center"/>
              <w:rPr>
                <w:rFonts w:asciiTheme="minorEastAsia" w:eastAsiaTheme="minorEastAsia" w:hAnsiTheme="minorEastAsia"/>
                <w:sz w:val="24"/>
              </w:rPr>
            </w:pPr>
            <w:r>
              <w:rPr>
                <w:rFonts w:asciiTheme="minorEastAsia" w:eastAsiaTheme="minorEastAsia" w:hAnsiTheme="minorEastAsia" w:hint="eastAsia"/>
                <w:sz w:val="24"/>
              </w:rPr>
              <w:t>1.</w:t>
            </w:r>
          </w:p>
        </w:tc>
        <w:tc>
          <w:tcPr>
            <w:tcW w:w="1418" w:type="dxa"/>
            <w:vMerge w:val="restart"/>
            <w:vAlign w:val="center"/>
          </w:tcPr>
          <w:p>
            <w:pPr>
              <w:jc w:val="center"/>
              <w:rPr>
                <w:rFonts w:asciiTheme="minorEastAsia" w:eastAsiaTheme="minorEastAsia" w:hAnsiTheme="minorEastAsia"/>
                <w:bCs/>
                <w:color w:val="auto"/>
                <w:sz w:val="24"/>
              </w:rPr>
            </w:pPr>
            <w:r>
              <w:rPr>
                <w:rFonts w:hint="eastAsia"/>
                <w:color w:val="auto"/>
                <w:sz w:val="24"/>
              </w:rPr>
              <w:t>中标人的确定</w:t>
            </w:r>
          </w:p>
        </w:tc>
        <w:tc>
          <w:tcPr>
            <w:tcW w:w="6546" w:type="dxa"/>
            <w:vAlign w:val="center"/>
          </w:tcPr>
          <w:p>
            <w:pPr>
              <w:rPr>
                <w:rFonts w:asciiTheme="minorEastAsia" w:eastAsiaTheme="minorEastAsia" w:hAnsiTheme="minorEastAsia"/>
                <w:color w:val="auto"/>
                <w:sz w:val="24"/>
              </w:rPr>
            </w:pPr>
            <w:r>
              <w:rPr>
                <w:rFonts w:asciiTheme="minorEastAsia" w:eastAsiaTheme="minorEastAsia" w:hAnsiTheme="minorEastAsia" w:hint="eastAsia"/>
                <w:color w:val="auto"/>
                <w:sz w:val="24"/>
              </w:rPr>
              <w:t>中标候选人并列的，由采购人采取下述</w:t>
            </w:r>
            <w:r>
              <w:rPr>
                <w:rFonts w:asciiTheme="minorEastAsia" w:eastAsiaTheme="minorEastAsia" w:hAnsiTheme="minorEastAsia" w:hint="eastAsia"/>
                <w:bCs/>
                <w:color w:val="auto"/>
                <w:sz w:val="24"/>
                <w:u w:val="single"/>
              </w:rPr>
              <w:t xml:space="preserve"> 方式</w:t>
            </w:r>
            <w:r>
              <w:rPr>
                <w:rFonts w:asciiTheme="minorEastAsia" w:eastAsiaTheme="minorEastAsia" w:hAnsiTheme="minorEastAsia" w:hint="eastAsia"/>
                <w:bCs/>
                <w:color w:val="auto"/>
                <w:sz w:val="24"/>
                <w:u w:val="single"/>
                <w:lang w:val="en-US" w:eastAsia="zh-CN"/>
              </w:rPr>
              <w:t>二</w:t>
            </w:r>
            <w:r>
              <w:rPr>
                <w:rFonts w:asciiTheme="minorEastAsia" w:eastAsiaTheme="minorEastAsia" w:hAnsiTheme="minorEastAsia" w:hint="eastAsia"/>
                <w:bCs/>
                <w:color w:val="auto"/>
                <w:sz w:val="24"/>
                <w:u w:val="single"/>
              </w:rPr>
              <w:t xml:space="preserve"> </w:t>
            </w:r>
            <w:r>
              <w:rPr>
                <w:rFonts w:asciiTheme="minorEastAsia" w:eastAsiaTheme="minorEastAsia" w:hAnsiTheme="minorEastAsia" w:hint="eastAsia"/>
                <w:color w:val="auto"/>
                <w:sz w:val="24"/>
              </w:rPr>
              <w:t>确定中标人。</w:t>
            </w:r>
          </w:p>
          <w:p>
            <w:pPr>
              <w:rPr>
                <w:rFonts w:asciiTheme="minorEastAsia" w:eastAsiaTheme="minorEastAsia" w:hAnsiTheme="minorEastAsia"/>
                <w:color w:val="auto"/>
                <w:sz w:val="24"/>
              </w:rPr>
            </w:pPr>
            <w:r>
              <w:rPr>
                <w:rFonts w:asciiTheme="minorEastAsia" w:eastAsiaTheme="minorEastAsia" w:hAnsiTheme="minorEastAsia" w:hint="eastAsia"/>
                <w:color w:val="auto"/>
                <w:sz w:val="24"/>
              </w:rPr>
              <w:t>方式一：随机抽取；</w:t>
            </w:r>
          </w:p>
          <w:p>
            <w:pPr>
              <w:rPr>
                <w:rFonts w:asciiTheme="minorEastAsia" w:eastAsiaTheme="minorEastAsia" w:hAnsiTheme="minorEastAsia"/>
                <w:color w:val="auto"/>
                <w:sz w:val="24"/>
              </w:rPr>
            </w:pPr>
            <w:r>
              <w:rPr>
                <w:rFonts w:asciiTheme="minorEastAsia" w:eastAsiaTheme="minorEastAsia" w:hAnsiTheme="minorEastAsia" w:hint="eastAsia"/>
                <w:color w:val="auto"/>
                <w:sz w:val="24"/>
              </w:rPr>
              <w:t>方式二：按技术部分得分高低顺序；</w:t>
            </w:r>
          </w:p>
        </w:tc>
      </w:tr>
      <w:tr>
        <w:tblPrEx>
          <w:tblW w:w="9986" w:type="dxa"/>
          <w:jc w:val="center"/>
          <w:tblLayout w:type="fixed"/>
          <w:tblCellMar>
            <w:top w:w="0" w:type="dxa"/>
            <w:left w:w="108" w:type="dxa"/>
            <w:bottom w:w="0" w:type="dxa"/>
            <w:right w:w="108" w:type="dxa"/>
          </w:tblCellMar>
        </w:tblPrEx>
        <w:trPr>
          <w:trHeight w:val="747"/>
          <w:jc w:val="center"/>
        </w:trPr>
        <w:tc>
          <w:tcPr>
            <w:tcW w:w="1314" w:type="dxa"/>
            <w:vMerge/>
            <w:vAlign w:val="center"/>
          </w:tcPr>
          <w:p>
            <w:pPr>
              <w:jc w:val="center"/>
              <w:rPr>
                <w:rFonts w:asciiTheme="minorEastAsia" w:eastAsiaTheme="minorEastAsia" w:hAnsiTheme="minorEastAsia"/>
                <w:sz w:val="24"/>
              </w:rPr>
            </w:pPr>
          </w:p>
        </w:tc>
        <w:tc>
          <w:tcPr>
            <w:tcW w:w="708" w:type="dxa"/>
            <w:vMerge/>
            <w:vAlign w:val="center"/>
          </w:tcPr>
          <w:p>
            <w:pPr>
              <w:jc w:val="center"/>
              <w:rPr>
                <w:rFonts w:asciiTheme="minorEastAsia" w:eastAsiaTheme="minorEastAsia" w:hAnsiTheme="minorEastAsia"/>
                <w:sz w:val="24"/>
              </w:rPr>
            </w:pPr>
          </w:p>
        </w:tc>
        <w:tc>
          <w:tcPr>
            <w:tcW w:w="1418" w:type="dxa"/>
            <w:vMerge/>
            <w:vAlign w:val="center"/>
          </w:tcPr>
          <w:p>
            <w:pPr>
              <w:jc w:val="center"/>
              <w:rPr>
                <w:color w:val="auto"/>
                <w:sz w:val="24"/>
              </w:rPr>
            </w:pPr>
          </w:p>
        </w:tc>
        <w:tc>
          <w:tcPr>
            <w:tcW w:w="6546" w:type="dxa"/>
            <w:vAlign w:val="center"/>
          </w:tcPr>
          <w:p>
            <w:pPr>
              <w:rPr>
                <w:rFonts w:asciiTheme="minorEastAsia" w:eastAsiaTheme="minorEastAsia" w:hAnsiTheme="minorEastAsia"/>
                <w:color w:val="auto"/>
                <w:sz w:val="24"/>
              </w:rPr>
            </w:pPr>
            <w:r>
              <w:rPr>
                <w:rFonts w:asciiTheme="minorEastAsia" w:eastAsiaTheme="minorEastAsia" w:hAnsiTheme="minorEastAsia" w:hint="eastAsia"/>
                <w:color w:val="auto"/>
                <w:sz w:val="24"/>
              </w:rPr>
              <w:t>本项目为</w:t>
            </w:r>
            <w:r>
              <w:rPr>
                <w:rFonts w:hint="eastAsia"/>
                <w:color w:val="auto"/>
                <w:sz w:val="24"/>
              </w:rPr>
              <w:t>确标方式为：</w:t>
            </w:r>
            <w:r>
              <w:rPr>
                <w:rFonts w:asciiTheme="minorEastAsia" w:eastAsiaTheme="minorEastAsia" w:hAnsiTheme="minorEastAsia" w:hint="eastAsia"/>
                <w:bCs/>
                <w:color w:val="auto"/>
                <w:sz w:val="24"/>
                <w:u w:val="single"/>
              </w:rPr>
              <w:t xml:space="preserve"> 方式一 </w:t>
            </w:r>
          </w:p>
          <w:p>
            <w:pPr>
              <w:rPr>
                <w:rFonts w:asciiTheme="minorEastAsia" w:eastAsiaTheme="minorEastAsia" w:hAnsiTheme="minorEastAsia"/>
                <w:color w:val="auto"/>
                <w:sz w:val="24"/>
              </w:rPr>
            </w:pPr>
            <w:r>
              <w:rPr>
                <w:rFonts w:asciiTheme="minorEastAsia" w:eastAsiaTheme="minorEastAsia" w:hAnsiTheme="minorEastAsia" w:hint="eastAsia"/>
                <w:color w:val="auto"/>
                <w:sz w:val="24"/>
              </w:rPr>
              <w:t>方式一：非评定分离</w:t>
            </w:r>
          </w:p>
          <w:p>
            <w:pPr>
              <w:rPr>
                <w:rFonts w:asciiTheme="minorEastAsia" w:eastAsiaTheme="minorEastAsia" w:hAnsiTheme="minorEastAsia"/>
                <w:color w:val="auto"/>
                <w:sz w:val="24"/>
              </w:rPr>
            </w:pPr>
            <w:r>
              <w:rPr>
                <w:rFonts w:asciiTheme="minorEastAsia" w:eastAsiaTheme="minorEastAsia" w:hAnsiTheme="minorEastAsia" w:hint="eastAsia"/>
                <w:color w:val="auto"/>
                <w:sz w:val="24"/>
              </w:rPr>
              <w:t>方式二：评定分离</w:t>
            </w:r>
          </w:p>
        </w:tc>
      </w:tr>
      <w:tr>
        <w:tblPrEx>
          <w:tblW w:w="9986" w:type="dxa"/>
          <w:jc w:val="center"/>
          <w:tblLayout w:type="fixed"/>
          <w:tblCellMar>
            <w:top w:w="0" w:type="dxa"/>
            <w:left w:w="108" w:type="dxa"/>
            <w:bottom w:w="0" w:type="dxa"/>
            <w:right w:w="108" w:type="dxa"/>
          </w:tblCellMar>
        </w:tblPrEx>
        <w:trPr>
          <w:trHeight w:val="421"/>
          <w:jc w:val="center"/>
        </w:trPr>
        <w:tc>
          <w:tcPr>
            <w:tcW w:w="1314" w:type="dxa"/>
            <w:vAlign w:val="center"/>
          </w:tcPr>
          <w:p>
            <w:pPr>
              <w:jc w:val="center"/>
              <w:rPr>
                <w:rFonts w:asciiTheme="minorEastAsia" w:eastAsiaTheme="minorEastAsia" w:hAnsiTheme="minorEastAsia"/>
                <w:sz w:val="24"/>
              </w:rPr>
            </w:pPr>
            <w:r>
              <w:rPr>
                <w:rFonts w:asciiTheme="minorEastAsia" w:eastAsiaTheme="minorEastAsia" w:hAnsiTheme="minorEastAsia" w:hint="eastAsia"/>
                <w:sz w:val="24"/>
              </w:rPr>
              <w:t>（六）</w:t>
            </w:r>
          </w:p>
        </w:tc>
        <w:tc>
          <w:tcPr>
            <w:tcW w:w="708" w:type="dxa"/>
            <w:vAlign w:val="center"/>
          </w:tcPr>
          <w:p>
            <w:pPr>
              <w:jc w:val="center"/>
              <w:rPr>
                <w:rFonts w:asciiTheme="minorEastAsia" w:eastAsiaTheme="minorEastAsia" w:hAnsiTheme="minorEastAsia"/>
                <w:sz w:val="24"/>
              </w:rPr>
            </w:pPr>
            <w:r>
              <w:rPr>
                <w:rFonts w:asciiTheme="minorEastAsia" w:eastAsiaTheme="minorEastAsia" w:hAnsiTheme="minorEastAsia" w:hint="eastAsia"/>
                <w:sz w:val="24"/>
              </w:rPr>
              <w:t>1.</w:t>
            </w:r>
          </w:p>
        </w:tc>
        <w:tc>
          <w:tcPr>
            <w:tcW w:w="1418" w:type="dxa"/>
            <w:vAlign w:val="center"/>
          </w:tcPr>
          <w:p>
            <w:pPr>
              <w:jc w:val="center"/>
              <w:rPr>
                <w:sz w:val="24"/>
              </w:rPr>
            </w:pPr>
            <w:r>
              <w:rPr>
                <w:rFonts w:ascii="宋体" w:hAnsi="宋体" w:cs="宋体" w:hint="eastAsia"/>
                <w:sz w:val="24"/>
              </w:rPr>
              <w:t>采购代理服务费</w:t>
            </w:r>
          </w:p>
        </w:tc>
        <w:tc>
          <w:tcPr>
            <w:tcW w:w="6546" w:type="dxa"/>
          </w:tcPr>
          <w:p>
            <w:pPr>
              <w:pStyle w:val="ListParagraph"/>
              <w:numPr>
                <w:ilvl w:val="0"/>
                <w:numId w:val="32"/>
              </w:numPr>
              <w:tabs>
                <w:tab w:val="left" w:pos="524"/>
                <w:tab w:val="left" w:pos="601"/>
              </w:tabs>
              <w:adjustRightInd w:val="0"/>
              <w:snapToGrid w:val="0"/>
              <w:ind w:left="99" w:hanging="99" w:firstLineChars="0"/>
              <w:rPr>
                <w:rFonts w:asciiTheme="minorEastAsia" w:eastAsiaTheme="minorEastAsia" w:hAnsiTheme="minorEastAsia"/>
                <w:color w:val="FF0000"/>
                <w:sz w:val="24"/>
              </w:rPr>
            </w:pPr>
            <w:r>
              <w:rPr>
                <w:rFonts w:asciiTheme="minorEastAsia" w:eastAsiaTheme="minorEastAsia" w:hAnsiTheme="minorEastAsia" w:hint="eastAsia"/>
                <w:sz w:val="24"/>
              </w:rPr>
              <w:t>本次采购代理服务费向下述</w:t>
            </w:r>
            <w:r>
              <w:rPr>
                <w:rFonts w:asciiTheme="minorEastAsia" w:eastAsiaTheme="minorEastAsia" w:hAnsiTheme="minorEastAsia" w:hint="eastAsia"/>
                <w:sz w:val="24"/>
                <w:u w:val="single"/>
              </w:rPr>
              <w:t>方式一</w:t>
            </w:r>
            <w:r>
              <w:rPr>
                <w:rFonts w:asciiTheme="minorEastAsia" w:eastAsiaTheme="minorEastAsia" w:hAnsiTheme="minorEastAsia" w:hint="eastAsia"/>
                <w:sz w:val="24"/>
              </w:rPr>
              <w:t>收取；</w:t>
            </w:r>
          </w:p>
          <w:p>
            <w:pPr>
              <w:tabs>
                <w:tab w:val="left" w:pos="524"/>
                <w:tab w:val="left" w:pos="601"/>
              </w:tabs>
              <w:adjustRightInd w:val="0"/>
              <w:snapToGrid w:val="0"/>
              <w:rPr>
                <w:rFonts w:asciiTheme="minorEastAsia" w:eastAsiaTheme="minorEastAsia" w:hAnsiTheme="minorEastAsia"/>
                <w:color w:val="FF0000"/>
                <w:sz w:val="24"/>
              </w:rPr>
            </w:pPr>
            <w:r>
              <w:rPr>
                <w:rFonts w:asciiTheme="minorEastAsia" w:eastAsiaTheme="minorEastAsia" w:hAnsiTheme="minorEastAsia" w:hint="eastAsia"/>
                <w:sz w:val="24"/>
              </w:rPr>
              <w:t>方式一：中标人</w:t>
            </w:r>
          </w:p>
          <w:p>
            <w:pPr>
              <w:tabs>
                <w:tab w:val="left" w:pos="524"/>
                <w:tab w:val="left" w:pos="601"/>
              </w:tabs>
              <w:adjustRightInd w:val="0"/>
              <w:snapToGrid w:val="0"/>
              <w:rPr>
                <w:rFonts w:asciiTheme="minorEastAsia" w:eastAsiaTheme="minorEastAsia" w:hAnsiTheme="minorEastAsia"/>
                <w:color w:val="FF0000"/>
                <w:sz w:val="24"/>
              </w:rPr>
            </w:pPr>
            <w:r>
              <w:rPr>
                <w:rFonts w:asciiTheme="minorEastAsia" w:eastAsiaTheme="minorEastAsia" w:hAnsiTheme="minorEastAsia" w:hint="eastAsia"/>
                <w:sz w:val="24"/>
              </w:rPr>
              <w:t>方式二：采购人</w:t>
            </w:r>
          </w:p>
          <w:p>
            <w:pPr>
              <w:pStyle w:val="ListParagraph"/>
              <w:numPr>
                <w:ilvl w:val="0"/>
                <w:numId w:val="32"/>
              </w:numPr>
              <w:tabs>
                <w:tab w:val="left" w:pos="524"/>
                <w:tab w:val="left" w:pos="601"/>
              </w:tabs>
              <w:adjustRightInd w:val="0"/>
              <w:snapToGrid w:val="0"/>
              <w:ind w:left="99" w:hanging="99" w:firstLineChars="0"/>
              <w:rPr>
                <w:rFonts w:asciiTheme="minorEastAsia" w:eastAsiaTheme="minorEastAsia" w:hAnsiTheme="minorEastAsia"/>
                <w:sz w:val="24"/>
              </w:rPr>
            </w:pPr>
            <w:r>
              <w:rPr>
                <w:rFonts w:asciiTheme="minorEastAsia" w:eastAsiaTheme="minorEastAsia" w:hAnsiTheme="minorEastAsia" w:hint="eastAsia"/>
                <w:sz w:val="24"/>
              </w:rPr>
              <w:t>按照下述向采购代理机构按如下标准和规定缴纳采购代理服务费；</w:t>
            </w:r>
          </w:p>
          <w:p>
            <w:pPr>
              <w:rPr>
                <w:rFonts w:asciiTheme="minorEastAsia" w:eastAsiaTheme="minorEastAsia" w:hAnsiTheme="minorEastAsia"/>
                <w:color w:val="auto"/>
                <w:sz w:val="24"/>
              </w:rPr>
            </w:pPr>
            <w:r>
              <w:rPr>
                <w:rFonts w:asciiTheme="minorEastAsia" w:hAnsiTheme="minorEastAsia" w:hint="eastAsia"/>
                <w:sz w:val="24"/>
              </w:rPr>
              <w:t>差额定率累进法收费：</w:t>
            </w:r>
            <w:r>
              <w:rPr>
                <w:rFonts w:asciiTheme="minorEastAsia" w:hAnsiTheme="minorEastAsia"/>
                <w:sz w:val="24"/>
              </w:rPr>
              <w:t>以</w:t>
            </w:r>
            <w:r>
              <w:rPr>
                <w:rFonts w:asciiTheme="minorEastAsia" w:hAnsiTheme="minorEastAsia"/>
                <w:bCs/>
                <w:sz w:val="24"/>
                <w:u w:val="single"/>
              </w:rPr>
              <w:t>中标通知书中</w:t>
            </w:r>
            <w:r>
              <w:rPr>
                <w:rFonts w:asciiTheme="minorEastAsia" w:hAnsiTheme="minorEastAsia" w:hint="eastAsia"/>
                <w:bCs/>
                <w:sz w:val="24"/>
                <w:u w:val="single"/>
              </w:rPr>
              <w:t>的</w:t>
            </w:r>
            <w:r>
              <w:rPr>
                <w:rFonts w:asciiTheme="minorEastAsia" w:hAnsiTheme="minorEastAsia" w:hint="eastAsia"/>
                <w:bCs/>
                <w:color w:val="000000" w:themeColor="text1"/>
                <w:sz w:val="24"/>
                <w:u w:val="single"/>
                <w14:textFill>
                  <w14:solidFill>
                    <w14:schemeClr w14:val="tx1"/>
                  </w14:solidFill>
                </w14:textFill>
              </w:rPr>
              <w:t>中标金额</w:t>
            </w:r>
            <w:r>
              <w:rPr>
                <w:rFonts w:asciiTheme="minorEastAsia" w:hAnsiTheme="minorEastAsia" w:hint="eastAsia"/>
                <w:bCs/>
                <w:sz w:val="24"/>
              </w:rPr>
              <w:t>作为采购代理服务费的计算基数</w:t>
            </w:r>
            <w:r>
              <w:rPr>
                <w:rFonts w:asciiTheme="minorEastAsia" w:hAnsiTheme="minorEastAsia" w:hint="eastAsia"/>
                <w:sz w:val="24"/>
              </w:rPr>
              <w:t>。按《深圳市财政委员会关于规范深圳市社会采购代理机构管</w:t>
            </w:r>
            <w:r>
              <w:rPr>
                <w:rFonts w:asciiTheme="minorEastAsia" w:hAnsiTheme="minorEastAsia" w:hint="eastAsia"/>
                <w:color w:val="auto"/>
                <w:sz w:val="24"/>
              </w:rPr>
              <w:t>理有关事项的补充通知》（深财购〔2018〕27号）代理费用参考标准规定的“</w:t>
            </w:r>
            <w:r>
              <w:rPr>
                <w:rFonts w:asciiTheme="minorEastAsia" w:hAnsiTheme="minorEastAsia" w:hint="eastAsia"/>
                <w:color w:val="auto"/>
                <w:sz w:val="24"/>
                <w:u w:val="single"/>
              </w:rPr>
              <w:t>服务类”</w:t>
            </w:r>
            <w:r>
              <w:rPr>
                <w:rFonts w:asciiTheme="minorEastAsia" w:hAnsiTheme="minorEastAsia" w:hint="eastAsia"/>
                <w:color w:val="auto"/>
                <w:sz w:val="24"/>
              </w:rPr>
              <w:t>计费标准</w:t>
            </w:r>
            <w:r>
              <w:rPr>
                <w:rFonts w:asciiTheme="minorEastAsia" w:hAnsiTheme="minorEastAsia" w:hint="eastAsia"/>
                <w:color w:val="auto"/>
                <w:sz w:val="24"/>
                <w:u w:val="single"/>
              </w:rPr>
              <w:t>上浮</w:t>
            </w:r>
            <w:r>
              <w:rPr>
                <w:rFonts w:asciiTheme="minorEastAsia" w:hAnsiTheme="minorEastAsia" w:hint="eastAsia"/>
                <w:color w:val="auto"/>
                <w:sz w:val="24"/>
                <w:u w:val="single"/>
                <w:lang w:val="en-US" w:eastAsia="zh-CN"/>
              </w:rPr>
              <w:t>20</w:t>
            </w:r>
            <w:r>
              <w:rPr>
                <w:rFonts w:asciiTheme="minorEastAsia" w:hAnsiTheme="minorEastAsia" w:hint="eastAsia"/>
                <w:color w:val="auto"/>
                <w:sz w:val="24"/>
                <w:u w:val="single"/>
              </w:rPr>
              <w:t>%</w:t>
            </w:r>
            <w:r>
              <w:rPr>
                <w:rFonts w:asciiTheme="minorEastAsia" w:hAnsiTheme="minorEastAsia" w:hint="eastAsia"/>
                <w:color w:val="auto"/>
                <w:sz w:val="24"/>
              </w:rPr>
              <w:t>计算并缴纳收取</w:t>
            </w:r>
            <w:r>
              <w:rPr>
                <w:rFonts w:asciiTheme="minorEastAsia" w:eastAsiaTheme="minorEastAsia" w:hAnsiTheme="minorEastAsia" w:hint="eastAsia"/>
                <w:bCs/>
                <w:color w:val="auto"/>
                <w:sz w:val="24"/>
              </w:rPr>
              <w:t>。</w:t>
            </w:r>
          </w:p>
          <w:tbl>
            <w:tblPr>
              <w:tblStyle w:val="TableNormal"/>
              <w:tblW w:w="6343" w:type="dxa"/>
              <w:tblInd w:w="0" w:type="dxa"/>
              <w:tblLayout w:type="fixed"/>
              <w:tblCellMar>
                <w:top w:w="15" w:type="dxa"/>
                <w:left w:w="15" w:type="dxa"/>
                <w:bottom w:w="15" w:type="dxa"/>
                <w:right w:w="15" w:type="dxa"/>
              </w:tblCellMar>
            </w:tblPr>
            <w:tblGrid>
              <w:gridCol w:w="2803"/>
              <w:gridCol w:w="1130"/>
              <w:gridCol w:w="1217"/>
              <w:gridCol w:w="1193"/>
            </w:tblGrid>
            <w:tr>
              <w:tblPrEx>
                <w:tblW w:w="6343" w:type="dxa"/>
                <w:tblInd w:w="0" w:type="dxa"/>
                <w:tblLayout w:type="fixed"/>
                <w:tblCellMar>
                  <w:top w:w="15" w:type="dxa"/>
                  <w:left w:w="15" w:type="dxa"/>
                  <w:bottom w:w="15" w:type="dxa"/>
                  <w:right w:w="15" w:type="dxa"/>
                </w:tblCellMar>
              </w:tblPrEx>
              <w:trPr>
                <w:trHeight w:val="299"/>
              </w:trPr>
              <w:tc>
                <w:tcPr>
                  <w:tcW w:w="2803" w:type="dxa"/>
                  <w:tcBorders>
                    <w:top w:val="single" w:sz="8" w:space="0" w:color="auto"/>
                    <w:left w:val="single" w:sz="8" w:space="0" w:color="auto"/>
                    <w:bottom w:val="single" w:sz="8" w:space="0" w:color="auto"/>
                    <w:right w:val="single" w:sz="8" w:space="0" w:color="auto"/>
                  </w:tcBorders>
                  <w:tcMar>
                    <w:top w:w="27" w:type="dxa"/>
                    <w:left w:w="136" w:type="dxa"/>
                    <w:bottom w:w="27" w:type="dxa"/>
                    <w:right w:w="136" w:type="dxa"/>
                  </w:tcMar>
                  <w:vAlign w:val="center"/>
                </w:tcPr>
                <w:p>
                  <w:pPr>
                    <w:widowControl/>
                    <w:wordWrap w:val="0"/>
                    <w:jc w:val="center"/>
                    <w:rPr>
                      <w:rFonts w:ascii="宋体" w:hAnsi="宋体" w:cs="宋体"/>
                      <w:kern w:val="0"/>
                      <w:szCs w:val="21"/>
                    </w:rPr>
                  </w:pPr>
                  <w:r>
                    <w:rPr>
                      <w:rFonts w:ascii="宋体" w:hAnsi="宋体" w:cs="宋体" w:hint="eastAsia"/>
                      <w:b/>
                      <w:bCs/>
                      <w:kern w:val="0"/>
                      <w:szCs w:val="21"/>
                    </w:rPr>
                    <w:t>服务费率类型</w:t>
                  </w:r>
                </w:p>
                <w:p>
                  <w:pPr>
                    <w:widowControl/>
                    <w:wordWrap w:val="0"/>
                    <w:jc w:val="center"/>
                    <w:rPr>
                      <w:rFonts w:ascii="宋体" w:hAnsi="宋体" w:cs="宋体"/>
                      <w:kern w:val="0"/>
                      <w:szCs w:val="21"/>
                    </w:rPr>
                  </w:pPr>
                  <w:r>
                    <w:rPr>
                      <w:rFonts w:ascii="宋体" w:hAnsi="宋体" w:cs="宋体" w:hint="eastAsia"/>
                      <w:b/>
                      <w:bCs/>
                      <w:kern w:val="0"/>
                      <w:szCs w:val="21"/>
                    </w:rPr>
                    <w:t>中标金额</w:t>
                  </w:r>
                </w:p>
              </w:tc>
              <w:tc>
                <w:tcPr>
                  <w:tcW w:w="1130" w:type="dxa"/>
                  <w:tcBorders>
                    <w:top w:val="single" w:sz="8" w:space="0" w:color="auto"/>
                    <w:left w:val="nil"/>
                    <w:bottom w:val="single" w:sz="8" w:space="0" w:color="auto"/>
                    <w:right w:val="single" w:sz="8" w:space="0" w:color="auto"/>
                  </w:tcBorders>
                  <w:tcMar>
                    <w:top w:w="27" w:type="dxa"/>
                    <w:left w:w="136" w:type="dxa"/>
                    <w:bottom w:w="27" w:type="dxa"/>
                    <w:right w:w="136" w:type="dxa"/>
                  </w:tcMar>
                  <w:vAlign w:val="center"/>
                </w:tcPr>
                <w:p>
                  <w:pPr>
                    <w:widowControl/>
                    <w:wordWrap w:val="0"/>
                    <w:spacing w:before="100" w:beforeAutospacing="1" w:after="100" w:afterAutospacing="1"/>
                    <w:jc w:val="center"/>
                    <w:rPr>
                      <w:rFonts w:ascii="宋体" w:hAnsi="宋体" w:cs="宋体"/>
                      <w:kern w:val="0"/>
                      <w:szCs w:val="21"/>
                    </w:rPr>
                  </w:pPr>
                  <w:r>
                    <w:rPr>
                      <w:rFonts w:ascii="宋体" w:hAnsi="宋体" w:cs="宋体" w:hint="eastAsia"/>
                      <w:b/>
                      <w:bCs/>
                      <w:kern w:val="0"/>
                      <w:szCs w:val="21"/>
                    </w:rPr>
                    <w:t>货物采购</w:t>
                  </w:r>
                </w:p>
              </w:tc>
              <w:tc>
                <w:tcPr>
                  <w:tcW w:w="1217" w:type="dxa"/>
                  <w:tcBorders>
                    <w:top w:val="single" w:sz="8" w:space="0" w:color="auto"/>
                    <w:left w:val="nil"/>
                    <w:bottom w:val="single" w:sz="8" w:space="0" w:color="auto"/>
                    <w:right w:val="single" w:sz="8" w:space="0" w:color="auto"/>
                  </w:tcBorders>
                  <w:tcMar>
                    <w:top w:w="27" w:type="dxa"/>
                    <w:left w:w="136" w:type="dxa"/>
                    <w:bottom w:w="27" w:type="dxa"/>
                    <w:right w:w="136" w:type="dxa"/>
                  </w:tcMar>
                  <w:vAlign w:val="center"/>
                </w:tcPr>
                <w:p>
                  <w:pPr>
                    <w:widowControl/>
                    <w:wordWrap w:val="0"/>
                    <w:spacing w:before="100" w:beforeAutospacing="1" w:after="100" w:afterAutospacing="1"/>
                    <w:jc w:val="center"/>
                    <w:rPr>
                      <w:rFonts w:ascii="宋体" w:hAnsi="宋体" w:cs="宋体"/>
                      <w:kern w:val="0"/>
                      <w:szCs w:val="21"/>
                    </w:rPr>
                  </w:pPr>
                  <w:r>
                    <w:rPr>
                      <w:rFonts w:ascii="宋体" w:hAnsi="宋体" w:cs="宋体" w:hint="eastAsia"/>
                      <w:b/>
                      <w:bCs/>
                      <w:kern w:val="0"/>
                      <w:szCs w:val="21"/>
                    </w:rPr>
                    <w:t>服务采购</w:t>
                  </w:r>
                </w:p>
              </w:tc>
              <w:tc>
                <w:tcPr>
                  <w:tcW w:w="1193" w:type="dxa"/>
                  <w:tcBorders>
                    <w:top w:val="single" w:sz="8" w:space="0" w:color="auto"/>
                    <w:left w:val="nil"/>
                    <w:bottom w:val="single" w:sz="8" w:space="0" w:color="auto"/>
                    <w:right w:val="single" w:sz="8" w:space="0" w:color="auto"/>
                  </w:tcBorders>
                  <w:tcMar>
                    <w:top w:w="27" w:type="dxa"/>
                    <w:left w:w="136" w:type="dxa"/>
                    <w:bottom w:w="27" w:type="dxa"/>
                    <w:right w:w="136" w:type="dxa"/>
                  </w:tcMar>
                  <w:vAlign w:val="center"/>
                </w:tcPr>
                <w:p>
                  <w:pPr>
                    <w:widowControl/>
                    <w:wordWrap w:val="0"/>
                    <w:spacing w:before="100" w:beforeAutospacing="1" w:after="100" w:afterAutospacing="1"/>
                    <w:jc w:val="center"/>
                    <w:rPr>
                      <w:rFonts w:ascii="宋体" w:hAnsi="宋体" w:cs="宋体"/>
                      <w:kern w:val="0"/>
                      <w:szCs w:val="21"/>
                    </w:rPr>
                  </w:pPr>
                  <w:r>
                    <w:rPr>
                      <w:rFonts w:ascii="宋体" w:hAnsi="宋体" w:cs="宋体" w:hint="eastAsia"/>
                      <w:b/>
                      <w:bCs/>
                      <w:kern w:val="0"/>
                      <w:szCs w:val="21"/>
                    </w:rPr>
                    <w:t>工程采购</w:t>
                  </w:r>
                </w:p>
              </w:tc>
            </w:tr>
            <w:tr>
              <w:tblPrEx>
                <w:tblW w:w="6343" w:type="dxa"/>
                <w:tblInd w:w="0" w:type="dxa"/>
                <w:tblLayout w:type="fixed"/>
                <w:tblCellMar>
                  <w:top w:w="15" w:type="dxa"/>
                  <w:left w:w="15" w:type="dxa"/>
                  <w:bottom w:w="15" w:type="dxa"/>
                  <w:right w:w="15" w:type="dxa"/>
                </w:tblCellMar>
              </w:tblPrEx>
              <w:trPr>
                <w:trHeight w:val="299"/>
              </w:trPr>
              <w:tc>
                <w:tcPr>
                  <w:tcW w:w="2803" w:type="dxa"/>
                  <w:tcBorders>
                    <w:top w:val="nil"/>
                    <w:left w:val="single" w:sz="8" w:space="0" w:color="auto"/>
                    <w:bottom w:val="single" w:sz="8" w:space="0" w:color="auto"/>
                    <w:right w:val="single" w:sz="8" w:space="0" w:color="auto"/>
                  </w:tcBorders>
                  <w:tcMar>
                    <w:top w:w="27" w:type="dxa"/>
                    <w:left w:w="136" w:type="dxa"/>
                    <w:bottom w:w="27" w:type="dxa"/>
                    <w:right w:w="136" w:type="dxa"/>
                  </w:tcMar>
                  <w:vAlign w:val="center"/>
                </w:tcPr>
                <w:p>
                  <w:pPr>
                    <w:widowControl/>
                    <w:wordWrap w:val="0"/>
                    <w:spacing w:before="100" w:beforeAutospacing="1" w:after="100" w:afterAutospacing="1"/>
                    <w:jc w:val="center"/>
                    <w:rPr>
                      <w:rFonts w:ascii="宋体" w:hAnsi="宋体" w:cs="宋体"/>
                      <w:kern w:val="0"/>
                      <w:szCs w:val="21"/>
                    </w:rPr>
                  </w:pPr>
                  <w:r>
                    <w:rPr>
                      <w:rFonts w:ascii="宋体" w:hAnsi="宋体" w:cs="宋体" w:hint="eastAsia"/>
                      <w:kern w:val="0"/>
                      <w:szCs w:val="21"/>
                    </w:rPr>
                    <w:t>100万元以下</w:t>
                  </w:r>
                </w:p>
              </w:tc>
              <w:tc>
                <w:tcPr>
                  <w:tcW w:w="1130" w:type="dxa"/>
                  <w:tcBorders>
                    <w:top w:val="nil"/>
                    <w:left w:val="nil"/>
                    <w:bottom w:val="single" w:sz="8" w:space="0" w:color="auto"/>
                    <w:right w:val="single" w:sz="8" w:space="0" w:color="auto"/>
                  </w:tcBorders>
                  <w:tcMar>
                    <w:top w:w="27" w:type="dxa"/>
                    <w:left w:w="136" w:type="dxa"/>
                    <w:bottom w:w="27" w:type="dxa"/>
                    <w:right w:w="136" w:type="dxa"/>
                  </w:tcMar>
                  <w:vAlign w:val="center"/>
                </w:tcPr>
                <w:p>
                  <w:pPr>
                    <w:widowControl/>
                    <w:wordWrap w:val="0"/>
                    <w:spacing w:before="100" w:beforeAutospacing="1" w:after="100" w:afterAutospacing="1"/>
                    <w:jc w:val="center"/>
                    <w:rPr>
                      <w:rFonts w:ascii="宋体" w:hAnsi="宋体" w:cs="宋体"/>
                      <w:kern w:val="0"/>
                      <w:szCs w:val="21"/>
                    </w:rPr>
                  </w:pPr>
                  <w:r>
                    <w:rPr>
                      <w:rFonts w:ascii="宋体" w:hAnsi="宋体" w:cs="宋体" w:hint="eastAsia"/>
                      <w:kern w:val="0"/>
                      <w:szCs w:val="21"/>
                    </w:rPr>
                    <w:t>1.5%</w:t>
                  </w:r>
                </w:p>
              </w:tc>
              <w:tc>
                <w:tcPr>
                  <w:tcW w:w="1217" w:type="dxa"/>
                  <w:tcBorders>
                    <w:top w:val="nil"/>
                    <w:left w:val="nil"/>
                    <w:bottom w:val="single" w:sz="8" w:space="0" w:color="auto"/>
                    <w:right w:val="single" w:sz="8" w:space="0" w:color="auto"/>
                  </w:tcBorders>
                  <w:tcMar>
                    <w:top w:w="27" w:type="dxa"/>
                    <w:left w:w="136" w:type="dxa"/>
                    <w:bottom w:w="27" w:type="dxa"/>
                    <w:right w:w="136" w:type="dxa"/>
                  </w:tcMar>
                  <w:vAlign w:val="center"/>
                </w:tcPr>
                <w:p>
                  <w:pPr>
                    <w:widowControl/>
                    <w:wordWrap w:val="0"/>
                    <w:spacing w:before="100" w:beforeAutospacing="1" w:after="100" w:afterAutospacing="1"/>
                    <w:jc w:val="center"/>
                    <w:rPr>
                      <w:rFonts w:ascii="宋体" w:hAnsi="宋体" w:cs="宋体"/>
                      <w:kern w:val="0"/>
                      <w:szCs w:val="21"/>
                    </w:rPr>
                  </w:pPr>
                  <w:r>
                    <w:rPr>
                      <w:rFonts w:ascii="宋体" w:hAnsi="宋体" w:cs="宋体" w:hint="eastAsia"/>
                      <w:kern w:val="0"/>
                      <w:szCs w:val="21"/>
                    </w:rPr>
                    <w:t>1.5%</w:t>
                  </w:r>
                </w:p>
              </w:tc>
              <w:tc>
                <w:tcPr>
                  <w:tcW w:w="1193" w:type="dxa"/>
                  <w:tcBorders>
                    <w:top w:val="nil"/>
                    <w:left w:val="nil"/>
                    <w:bottom w:val="single" w:sz="8" w:space="0" w:color="auto"/>
                    <w:right w:val="single" w:sz="8" w:space="0" w:color="auto"/>
                  </w:tcBorders>
                  <w:tcMar>
                    <w:top w:w="27" w:type="dxa"/>
                    <w:left w:w="136" w:type="dxa"/>
                    <w:bottom w:w="27" w:type="dxa"/>
                    <w:right w:w="136" w:type="dxa"/>
                  </w:tcMar>
                  <w:vAlign w:val="center"/>
                </w:tcPr>
                <w:p>
                  <w:pPr>
                    <w:widowControl/>
                    <w:wordWrap w:val="0"/>
                    <w:spacing w:before="100" w:beforeAutospacing="1" w:after="100" w:afterAutospacing="1"/>
                    <w:jc w:val="center"/>
                    <w:rPr>
                      <w:rFonts w:ascii="宋体" w:hAnsi="宋体" w:cs="宋体"/>
                      <w:kern w:val="0"/>
                      <w:szCs w:val="21"/>
                    </w:rPr>
                  </w:pPr>
                  <w:r>
                    <w:rPr>
                      <w:rFonts w:ascii="宋体" w:hAnsi="宋体" w:cs="宋体" w:hint="eastAsia"/>
                      <w:kern w:val="0"/>
                      <w:szCs w:val="21"/>
                    </w:rPr>
                    <w:t>1.0%</w:t>
                  </w:r>
                </w:p>
              </w:tc>
            </w:tr>
            <w:tr>
              <w:tblPrEx>
                <w:tblW w:w="6343" w:type="dxa"/>
                <w:tblInd w:w="0" w:type="dxa"/>
                <w:tblLayout w:type="fixed"/>
                <w:tblCellMar>
                  <w:top w:w="15" w:type="dxa"/>
                  <w:left w:w="15" w:type="dxa"/>
                  <w:bottom w:w="15" w:type="dxa"/>
                  <w:right w:w="15" w:type="dxa"/>
                </w:tblCellMar>
              </w:tblPrEx>
              <w:trPr>
                <w:trHeight w:val="299"/>
              </w:trPr>
              <w:tc>
                <w:tcPr>
                  <w:tcW w:w="2803" w:type="dxa"/>
                  <w:tcBorders>
                    <w:top w:val="nil"/>
                    <w:left w:val="single" w:sz="8" w:space="0" w:color="auto"/>
                    <w:bottom w:val="single" w:sz="8" w:space="0" w:color="auto"/>
                    <w:right w:val="single" w:sz="8" w:space="0" w:color="auto"/>
                  </w:tcBorders>
                  <w:tcMar>
                    <w:top w:w="27" w:type="dxa"/>
                    <w:left w:w="136" w:type="dxa"/>
                    <w:bottom w:w="27" w:type="dxa"/>
                    <w:right w:w="136" w:type="dxa"/>
                  </w:tcMar>
                  <w:vAlign w:val="center"/>
                </w:tcPr>
                <w:p>
                  <w:pPr>
                    <w:widowControl/>
                    <w:wordWrap w:val="0"/>
                    <w:spacing w:before="100" w:beforeAutospacing="1" w:after="100" w:afterAutospacing="1"/>
                    <w:jc w:val="center"/>
                    <w:rPr>
                      <w:rFonts w:ascii="宋体" w:hAnsi="宋体" w:cs="宋体"/>
                      <w:kern w:val="0"/>
                      <w:szCs w:val="21"/>
                    </w:rPr>
                  </w:pPr>
                  <w:r>
                    <w:rPr>
                      <w:rFonts w:ascii="宋体" w:hAnsi="宋体" w:cs="宋体" w:hint="eastAsia"/>
                      <w:kern w:val="0"/>
                      <w:szCs w:val="21"/>
                    </w:rPr>
                    <w:t>100万元（含）-500万元</w:t>
                  </w:r>
                </w:p>
              </w:tc>
              <w:tc>
                <w:tcPr>
                  <w:tcW w:w="1130" w:type="dxa"/>
                  <w:tcBorders>
                    <w:top w:val="nil"/>
                    <w:left w:val="nil"/>
                    <w:bottom w:val="single" w:sz="8" w:space="0" w:color="auto"/>
                    <w:right w:val="single" w:sz="8" w:space="0" w:color="auto"/>
                  </w:tcBorders>
                  <w:tcMar>
                    <w:top w:w="27" w:type="dxa"/>
                    <w:left w:w="136" w:type="dxa"/>
                    <w:bottom w:w="27" w:type="dxa"/>
                    <w:right w:w="136" w:type="dxa"/>
                  </w:tcMar>
                  <w:vAlign w:val="center"/>
                </w:tcPr>
                <w:p>
                  <w:pPr>
                    <w:widowControl/>
                    <w:wordWrap w:val="0"/>
                    <w:spacing w:before="100" w:beforeAutospacing="1" w:after="100" w:afterAutospacing="1"/>
                    <w:jc w:val="center"/>
                    <w:rPr>
                      <w:rFonts w:ascii="宋体" w:hAnsi="宋体" w:cs="宋体"/>
                      <w:kern w:val="0"/>
                      <w:szCs w:val="21"/>
                    </w:rPr>
                  </w:pPr>
                  <w:r>
                    <w:rPr>
                      <w:rFonts w:ascii="宋体" w:hAnsi="宋体" w:cs="宋体" w:hint="eastAsia"/>
                      <w:kern w:val="0"/>
                      <w:szCs w:val="21"/>
                    </w:rPr>
                    <w:t>1.1%</w:t>
                  </w:r>
                </w:p>
              </w:tc>
              <w:tc>
                <w:tcPr>
                  <w:tcW w:w="1217" w:type="dxa"/>
                  <w:tcBorders>
                    <w:top w:val="nil"/>
                    <w:left w:val="nil"/>
                    <w:bottom w:val="single" w:sz="8" w:space="0" w:color="auto"/>
                    <w:right w:val="single" w:sz="8" w:space="0" w:color="auto"/>
                  </w:tcBorders>
                  <w:tcMar>
                    <w:top w:w="27" w:type="dxa"/>
                    <w:left w:w="136" w:type="dxa"/>
                    <w:bottom w:w="27" w:type="dxa"/>
                    <w:right w:w="136" w:type="dxa"/>
                  </w:tcMar>
                  <w:vAlign w:val="center"/>
                </w:tcPr>
                <w:p>
                  <w:pPr>
                    <w:widowControl/>
                    <w:wordWrap w:val="0"/>
                    <w:spacing w:before="100" w:beforeAutospacing="1" w:after="100" w:afterAutospacing="1"/>
                    <w:jc w:val="center"/>
                    <w:rPr>
                      <w:rFonts w:ascii="宋体" w:hAnsi="宋体" w:cs="宋体"/>
                      <w:kern w:val="0"/>
                      <w:szCs w:val="21"/>
                    </w:rPr>
                  </w:pPr>
                  <w:r>
                    <w:rPr>
                      <w:rFonts w:ascii="宋体" w:hAnsi="宋体" w:cs="宋体" w:hint="eastAsia"/>
                      <w:kern w:val="0"/>
                      <w:szCs w:val="21"/>
                    </w:rPr>
                    <w:t>0.8%</w:t>
                  </w:r>
                </w:p>
              </w:tc>
              <w:tc>
                <w:tcPr>
                  <w:tcW w:w="1193" w:type="dxa"/>
                  <w:tcBorders>
                    <w:top w:val="nil"/>
                    <w:left w:val="nil"/>
                    <w:bottom w:val="single" w:sz="8" w:space="0" w:color="auto"/>
                    <w:right w:val="single" w:sz="8" w:space="0" w:color="auto"/>
                  </w:tcBorders>
                  <w:tcMar>
                    <w:top w:w="27" w:type="dxa"/>
                    <w:left w:w="136" w:type="dxa"/>
                    <w:bottom w:w="27" w:type="dxa"/>
                    <w:right w:w="136" w:type="dxa"/>
                  </w:tcMar>
                  <w:vAlign w:val="center"/>
                </w:tcPr>
                <w:p>
                  <w:pPr>
                    <w:widowControl/>
                    <w:wordWrap w:val="0"/>
                    <w:spacing w:before="100" w:beforeAutospacing="1" w:after="100" w:afterAutospacing="1"/>
                    <w:jc w:val="center"/>
                    <w:rPr>
                      <w:rFonts w:ascii="宋体" w:hAnsi="宋体" w:cs="宋体"/>
                      <w:kern w:val="0"/>
                      <w:szCs w:val="21"/>
                    </w:rPr>
                  </w:pPr>
                  <w:r>
                    <w:rPr>
                      <w:rFonts w:ascii="宋体" w:hAnsi="宋体" w:cs="宋体" w:hint="eastAsia"/>
                      <w:kern w:val="0"/>
                      <w:szCs w:val="21"/>
                    </w:rPr>
                    <w:t>0.7%</w:t>
                  </w:r>
                </w:p>
              </w:tc>
            </w:tr>
            <w:tr>
              <w:tblPrEx>
                <w:tblW w:w="6343" w:type="dxa"/>
                <w:tblInd w:w="0" w:type="dxa"/>
                <w:tblLayout w:type="fixed"/>
                <w:tblCellMar>
                  <w:top w:w="15" w:type="dxa"/>
                  <w:left w:w="15" w:type="dxa"/>
                  <w:bottom w:w="15" w:type="dxa"/>
                  <w:right w:w="15" w:type="dxa"/>
                </w:tblCellMar>
              </w:tblPrEx>
              <w:trPr>
                <w:trHeight w:val="299"/>
              </w:trPr>
              <w:tc>
                <w:tcPr>
                  <w:tcW w:w="2803" w:type="dxa"/>
                  <w:tcBorders>
                    <w:top w:val="nil"/>
                    <w:left w:val="single" w:sz="8" w:space="0" w:color="auto"/>
                    <w:bottom w:val="single" w:sz="8" w:space="0" w:color="auto"/>
                    <w:right w:val="single" w:sz="8" w:space="0" w:color="auto"/>
                  </w:tcBorders>
                  <w:tcMar>
                    <w:top w:w="27" w:type="dxa"/>
                    <w:left w:w="136" w:type="dxa"/>
                    <w:bottom w:w="27" w:type="dxa"/>
                    <w:right w:w="136" w:type="dxa"/>
                  </w:tcMar>
                  <w:vAlign w:val="center"/>
                </w:tcPr>
                <w:p>
                  <w:pPr>
                    <w:widowControl/>
                    <w:wordWrap w:val="0"/>
                    <w:spacing w:before="100" w:beforeAutospacing="1" w:after="100" w:afterAutospacing="1"/>
                    <w:jc w:val="center"/>
                    <w:rPr>
                      <w:rFonts w:ascii="宋体" w:hAnsi="宋体" w:cs="宋体"/>
                      <w:kern w:val="0"/>
                      <w:szCs w:val="21"/>
                    </w:rPr>
                  </w:pPr>
                  <w:r>
                    <w:rPr>
                      <w:rFonts w:ascii="宋体" w:hAnsi="宋体" w:cs="宋体" w:hint="eastAsia"/>
                      <w:kern w:val="0"/>
                      <w:szCs w:val="21"/>
                    </w:rPr>
                    <w:t>500万元（含）-1000万元</w:t>
                  </w:r>
                </w:p>
              </w:tc>
              <w:tc>
                <w:tcPr>
                  <w:tcW w:w="1130" w:type="dxa"/>
                  <w:tcBorders>
                    <w:top w:val="nil"/>
                    <w:left w:val="nil"/>
                    <w:bottom w:val="single" w:sz="8" w:space="0" w:color="auto"/>
                    <w:right w:val="single" w:sz="8" w:space="0" w:color="auto"/>
                  </w:tcBorders>
                  <w:tcMar>
                    <w:top w:w="27" w:type="dxa"/>
                    <w:left w:w="136" w:type="dxa"/>
                    <w:bottom w:w="27" w:type="dxa"/>
                    <w:right w:w="136" w:type="dxa"/>
                  </w:tcMar>
                  <w:vAlign w:val="center"/>
                </w:tcPr>
                <w:p>
                  <w:pPr>
                    <w:widowControl/>
                    <w:wordWrap w:val="0"/>
                    <w:spacing w:before="100" w:beforeAutospacing="1" w:after="100" w:afterAutospacing="1"/>
                    <w:jc w:val="center"/>
                    <w:rPr>
                      <w:rFonts w:ascii="宋体" w:hAnsi="宋体" w:cs="宋体"/>
                      <w:kern w:val="0"/>
                      <w:szCs w:val="21"/>
                    </w:rPr>
                  </w:pPr>
                  <w:r>
                    <w:rPr>
                      <w:rFonts w:ascii="宋体" w:hAnsi="宋体" w:cs="宋体" w:hint="eastAsia"/>
                      <w:kern w:val="0"/>
                      <w:szCs w:val="21"/>
                    </w:rPr>
                    <w:t>0.8%</w:t>
                  </w:r>
                </w:p>
              </w:tc>
              <w:tc>
                <w:tcPr>
                  <w:tcW w:w="1217" w:type="dxa"/>
                  <w:tcBorders>
                    <w:top w:val="nil"/>
                    <w:left w:val="nil"/>
                    <w:bottom w:val="single" w:sz="8" w:space="0" w:color="auto"/>
                    <w:right w:val="single" w:sz="8" w:space="0" w:color="auto"/>
                  </w:tcBorders>
                  <w:tcMar>
                    <w:top w:w="27" w:type="dxa"/>
                    <w:left w:w="136" w:type="dxa"/>
                    <w:bottom w:w="27" w:type="dxa"/>
                    <w:right w:w="136" w:type="dxa"/>
                  </w:tcMar>
                  <w:vAlign w:val="center"/>
                </w:tcPr>
                <w:p>
                  <w:pPr>
                    <w:widowControl/>
                    <w:wordWrap w:val="0"/>
                    <w:spacing w:before="100" w:beforeAutospacing="1" w:after="100" w:afterAutospacing="1"/>
                    <w:jc w:val="center"/>
                    <w:rPr>
                      <w:rFonts w:ascii="宋体" w:hAnsi="宋体" w:cs="宋体"/>
                      <w:kern w:val="0"/>
                      <w:szCs w:val="21"/>
                    </w:rPr>
                  </w:pPr>
                  <w:r>
                    <w:rPr>
                      <w:rFonts w:ascii="宋体" w:hAnsi="宋体" w:cs="宋体" w:hint="eastAsia"/>
                      <w:kern w:val="0"/>
                      <w:szCs w:val="21"/>
                    </w:rPr>
                    <w:t>0.45%</w:t>
                  </w:r>
                </w:p>
              </w:tc>
              <w:tc>
                <w:tcPr>
                  <w:tcW w:w="1193" w:type="dxa"/>
                  <w:tcBorders>
                    <w:top w:val="nil"/>
                    <w:left w:val="nil"/>
                    <w:bottom w:val="single" w:sz="8" w:space="0" w:color="auto"/>
                    <w:right w:val="single" w:sz="8" w:space="0" w:color="auto"/>
                  </w:tcBorders>
                  <w:tcMar>
                    <w:top w:w="27" w:type="dxa"/>
                    <w:left w:w="136" w:type="dxa"/>
                    <w:bottom w:w="27" w:type="dxa"/>
                    <w:right w:w="136" w:type="dxa"/>
                  </w:tcMar>
                  <w:vAlign w:val="center"/>
                </w:tcPr>
                <w:p>
                  <w:pPr>
                    <w:widowControl/>
                    <w:wordWrap w:val="0"/>
                    <w:spacing w:before="100" w:beforeAutospacing="1" w:after="100" w:afterAutospacing="1"/>
                    <w:jc w:val="center"/>
                    <w:rPr>
                      <w:rFonts w:ascii="宋体" w:hAnsi="宋体" w:cs="宋体"/>
                      <w:kern w:val="0"/>
                      <w:szCs w:val="21"/>
                    </w:rPr>
                  </w:pPr>
                  <w:r>
                    <w:rPr>
                      <w:rFonts w:ascii="宋体" w:hAnsi="宋体" w:cs="宋体" w:hint="eastAsia"/>
                      <w:kern w:val="0"/>
                      <w:szCs w:val="21"/>
                    </w:rPr>
                    <w:t>0.55%</w:t>
                  </w:r>
                </w:p>
              </w:tc>
            </w:tr>
            <w:tr>
              <w:tblPrEx>
                <w:tblW w:w="6343" w:type="dxa"/>
                <w:tblInd w:w="0" w:type="dxa"/>
                <w:tblLayout w:type="fixed"/>
                <w:tblCellMar>
                  <w:top w:w="15" w:type="dxa"/>
                  <w:left w:w="15" w:type="dxa"/>
                  <w:bottom w:w="15" w:type="dxa"/>
                  <w:right w:w="15" w:type="dxa"/>
                </w:tblCellMar>
              </w:tblPrEx>
              <w:trPr>
                <w:trHeight w:val="299"/>
              </w:trPr>
              <w:tc>
                <w:tcPr>
                  <w:tcW w:w="2803" w:type="dxa"/>
                  <w:tcBorders>
                    <w:top w:val="nil"/>
                    <w:left w:val="single" w:sz="8" w:space="0" w:color="auto"/>
                    <w:bottom w:val="single" w:sz="8" w:space="0" w:color="auto"/>
                    <w:right w:val="single" w:sz="8" w:space="0" w:color="auto"/>
                  </w:tcBorders>
                  <w:tcMar>
                    <w:top w:w="27" w:type="dxa"/>
                    <w:left w:w="136" w:type="dxa"/>
                    <w:bottom w:w="27" w:type="dxa"/>
                    <w:right w:w="136" w:type="dxa"/>
                  </w:tcMar>
                  <w:vAlign w:val="center"/>
                </w:tcPr>
                <w:p>
                  <w:pPr>
                    <w:widowControl/>
                    <w:wordWrap w:val="0"/>
                    <w:spacing w:before="100" w:beforeAutospacing="1" w:after="100" w:afterAutospacing="1"/>
                    <w:jc w:val="center"/>
                    <w:rPr>
                      <w:rFonts w:ascii="宋体" w:hAnsi="宋体" w:cs="宋体"/>
                      <w:kern w:val="0"/>
                      <w:szCs w:val="21"/>
                    </w:rPr>
                  </w:pPr>
                  <w:r>
                    <w:rPr>
                      <w:rFonts w:ascii="宋体" w:hAnsi="宋体" w:cs="宋体" w:hint="eastAsia"/>
                      <w:kern w:val="0"/>
                      <w:szCs w:val="21"/>
                    </w:rPr>
                    <w:t>1000万元（含）-5000万元</w:t>
                  </w:r>
                </w:p>
              </w:tc>
              <w:tc>
                <w:tcPr>
                  <w:tcW w:w="1130" w:type="dxa"/>
                  <w:tcBorders>
                    <w:top w:val="nil"/>
                    <w:left w:val="nil"/>
                    <w:bottom w:val="single" w:sz="8" w:space="0" w:color="auto"/>
                    <w:right w:val="single" w:sz="8" w:space="0" w:color="auto"/>
                  </w:tcBorders>
                  <w:tcMar>
                    <w:top w:w="27" w:type="dxa"/>
                    <w:left w:w="136" w:type="dxa"/>
                    <w:bottom w:w="27" w:type="dxa"/>
                    <w:right w:w="136" w:type="dxa"/>
                  </w:tcMar>
                  <w:vAlign w:val="center"/>
                </w:tcPr>
                <w:p>
                  <w:pPr>
                    <w:widowControl/>
                    <w:wordWrap w:val="0"/>
                    <w:spacing w:before="100" w:beforeAutospacing="1" w:after="100" w:afterAutospacing="1"/>
                    <w:jc w:val="center"/>
                    <w:rPr>
                      <w:rFonts w:ascii="宋体" w:hAnsi="宋体" w:cs="宋体"/>
                      <w:kern w:val="0"/>
                      <w:szCs w:val="21"/>
                    </w:rPr>
                  </w:pPr>
                  <w:r>
                    <w:rPr>
                      <w:rFonts w:ascii="宋体" w:hAnsi="宋体" w:cs="宋体" w:hint="eastAsia"/>
                      <w:kern w:val="0"/>
                      <w:szCs w:val="21"/>
                    </w:rPr>
                    <w:t>0.5%</w:t>
                  </w:r>
                </w:p>
              </w:tc>
              <w:tc>
                <w:tcPr>
                  <w:tcW w:w="1217" w:type="dxa"/>
                  <w:tcBorders>
                    <w:top w:val="nil"/>
                    <w:left w:val="nil"/>
                    <w:bottom w:val="single" w:sz="8" w:space="0" w:color="auto"/>
                    <w:right w:val="single" w:sz="8" w:space="0" w:color="auto"/>
                  </w:tcBorders>
                  <w:tcMar>
                    <w:top w:w="27" w:type="dxa"/>
                    <w:left w:w="136" w:type="dxa"/>
                    <w:bottom w:w="27" w:type="dxa"/>
                    <w:right w:w="136" w:type="dxa"/>
                  </w:tcMar>
                  <w:vAlign w:val="center"/>
                </w:tcPr>
                <w:p>
                  <w:pPr>
                    <w:widowControl/>
                    <w:wordWrap w:val="0"/>
                    <w:spacing w:before="100" w:beforeAutospacing="1" w:after="100" w:afterAutospacing="1"/>
                    <w:jc w:val="center"/>
                    <w:rPr>
                      <w:rFonts w:ascii="宋体" w:hAnsi="宋体" w:cs="宋体"/>
                      <w:kern w:val="0"/>
                      <w:szCs w:val="21"/>
                    </w:rPr>
                  </w:pPr>
                  <w:r>
                    <w:rPr>
                      <w:rFonts w:ascii="宋体" w:hAnsi="宋体" w:cs="宋体" w:hint="eastAsia"/>
                      <w:kern w:val="0"/>
                      <w:szCs w:val="21"/>
                    </w:rPr>
                    <w:t>0.25%</w:t>
                  </w:r>
                </w:p>
              </w:tc>
              <w:tc>
                <w:tcPr>
                  <w:tcW w:w="1193" w:type="dxa"/>
                  <w:tcBorders>
                    <w:top w:val="nil"/>
                    <w:left w:val="nil"/>
                    <w:bottom w:val="single" w:sz="8" w:space="0" w:color="auto"/>
                    <w:right w:val="single" w:sz="8" w:space="0" w:color="auto"/>
                  </w:tcBorders>
                  <w:tcMar>
                    <w:top w:w="27" w:type="dxa"/>
                    <w:left w:w="136" w:type="dxa"/>
                    <w:bottom w:w="27" w:type="dxa"/>
                    <w:right w:w="136" w:type="dxa"/>
                  </w:tcMar>
                  <w:vAlign w:val="center"/>
                </w:tcPr>
                <w:p>
                  <w:pPr>
                    <w:widowControl/>
                    <w:wordWrap w:val="0"/>
                    <w:spacing w:before="100" w:beforeAutospacing="1" w:after="100" w:afterAutospacing="1"/>
                    <w:jc w:val="center"/>
                    <w:rPr>
                      <w:rFonts w:ascii="宋体" w:hAnsi="宋体" w:cs="宋体"/>
                      <w:kern w:val="0"/>
                      <w:szCs w:val="21"/>
                    </w:rPr>
                  </w:pPr>
                  <w:r>
                    <w:rPr>
                      <w:rFonts w:ascii="宋体" w:hAnsi="宋体" w:cs="宋体" w:hint="eastAsia"/>
                      <w:kern w:val="0"/>
                      <w:szCs w:val="21"/>
                    </w:rPr>
                    <w:t>0.35%</w:t>
                  </w:r>
                </w:p>
              </w:tc>
            </w:tr>
            <w:tr>
              <w:tblPrEx>
                <w:tblW w:w="6343" w:type="dxa"/>
                <w:tblInd w:w="0" w:type="dxa"/>
                <w:tblLayout w:type="fixed"/>
                <w:tblCellMar>
                  <w:top w:w="15" w:type="dxa"/>
                  <w:left w:w="15" w:type="dxa"/>
                  <w:bottom w:w="15" w:type="dxa"/>
                  <w:right w:w="15" w:type="dxa"/>
                </w:tblCellMar>
              </w:tblPrEx>
              <w:trPr>
                <w:trHeight w:val="299"/>
              </w:trPr>
              <w:tc>
                <w:tcPr>
                  <w:tcW w:w="2803" w:type="dxa"/>
                  <w:tcBorders>
                    <w:top w:val="nil"/>
                    <w:left w:val="single" w:sz="8" w:space="0" w:color="auto"/>
                    <w:bottom w:val="single" w:sz="8" w:space="0" w:color="auto"/>
                    <w:right w:val="single" w:sz="8" w:space="0" w:color="auto"/>
                  </w:tcBorders>
                  <w:tcMar>
                    <w:top w:w="27" w:type="dxa"/>
                    <w:left w:w="136" w:type="dxa"/>
                    <w:bottom w:w="27" w:type="dxa"/>
                    <w:right w:w="136" w:type="dxa"/>
                  </w:tcMar>
                  <w:vAlign w:val="center"/>
                </w:tcPr>
                <w:p>
                  <w:pPr>
                    <w:widowControl/>
                    <w:wordWrap w:val="0"/>
                    <w:spacing w:before="100" w:beforeAutospacing="1" w:after="100" w:afterAutospacing="1"/>
                    <w:jc w:val="center"/>
                    <w:rPr>
                      <w:rFonts w:ascii="宋体" w:hAnsi="宋体" w:cs="宋体"/>
                      <w:kern w:val="0"/>
                      <w:szCs w:val="21"/>
                    </w:rPr>
                  </w:pPr>
                  <w:r>
                    <w:rPr>
                      <w:rFonts w:ascii="宋体" w:hAnsi="宋体" w:cs="宋体" w:hint="eastAsia"/>
                      <w:kern w:val="0"/>
                      <w:szCs w:val="21"/>
                    </w:rPr>
                    <w:t>5000万元（含）-1亿元</w:t>
                  </w:r>
                </w:p>
              </w:tc>
              <w:tc>
                <w:tcPr>
                  <w:tcW w:w="1130" w:type="dxa"/>
                  <w:tcBorders>
                    <w:top w:val="nil"/>
                    <w:left w:val="nil"/>
                    <w:bottom w:val="single" w:sz="8" w:space="0" w:color="auto"/>
                    <w:right w:val="single" w:sz="8" w:space="0" w:color="auto"/>
                  </w:tcBorders>
                  <w:tcMar>
                    <w:top w:w="27" w:type="dxa"/>
                    <w:left w:w="136" w:type="dxa"/>
                    <w:bottom w:w="27" w:type="dxa"/>
                    <w:right w:w="136" w:type="dxa"/>
                  </w:tcMar>
                  <w:vAlign w:val="center"/>
                </w:tcPr>
                <w:p>
                  <w:pPr>
                    <w:widowControl/>
                    <w:wordWrap w:val="0"/>
                    <w:spacing w:before="100" w:beforeAutospacing="1" w:after="100" w:afterAutospacing="1"/>
                    <w:jc w:val="center"/>
                    <w:rPr>
                      <w:rFonts w:ascii="宋体" w:hAnsi="宋体" w:cs="宋体"/>
                      <w:kern w:val="0"/>
                      <w:szCs w:val="21"/>
                    </w:rPr>
                  </w:pPr>
                  <w:r>
                    <w:rPr>
                      <w:rFonts w:ascii="宋体" w:hAnsi="宋体" w:cs="宋体" w:hint="eastAsia"/>
                      <w:kern w:val="0"/>
                      <w:szCs w:val="21"/>
                    </w:rPr>
                    <w:t>0.25%</w:t>
                  </w:r>
                </w:p>
              </w:tc>
              <w:tc>
                <w:tcPr>
                  <w:tcW w:w="1217" w:type="dxa"/>
                  <w:tcBorders>
                    <w:top w:val="nil"/>
                    <w:left w:val="nil"/>
                    <w:bottom w:val="single" w:sz="8" w:space="0" w:color="auto"/>
                    <w:right w:val="single" w:sz="8" w:space="0" w:color="auto"/>
                  </w:tcBorders>
                  <w:tcMar>
                    <w:top w:w="27" w:type="dxa"/>
                    <w:left w:w="136" w:type="dxa"/>
                    <w:bottom w:w="27" w:type="dxa"/>
                    <w:right w:w="136" w:type="dxa"/>
                  </w:tcMar>
                  <w:vAlign w:val="center"/>
                </w:tcPr>
                <w:p>
                  <w:pPr>
                    <w:widowControl/>
                    <w:wordWrap w:val="0"/>
                    <w:spacing w:before="100" w:beforeAutospacing="1" w:after="100" w:afterAutospacing="1"/>
                    <w:jc w:val="center"/>
                    <w:rPr>
                      <w:rFonts w:ascii="宋体" w:hAnsi="宋体" w:cs="宋体"/>
                      <w:kern w:val="0"/>
                      <w:szCs w:val="21"/>
                    </w:rPr>
                  </w:pPr>
                  <w:r>
                    <w:rPr>
                      <w:rFonts w:ascii="宋体" w:hAnsi="宋体" w:cs="宋体" w:hint="eastAsia"/>
                      <w:kern w:val="0"/>
                      <w:szCs w:val="21"/>
                    </w:rPr>
                    <w:t>0.1%</w:t>
                  </w:r>
                </w:p>
              </w:tc>
              <w:tc>
                <w:tcPr>
                  <w:tcW w:w="1193" w:type="dxa"/>
                  <w:tcBorders>
                    <w:top w:val="nil"/>
                    <w:left w:val="nil"/>
                    <w:bottom w:val="single" w:sz="8" w:space="0" w:color="auto"/>
                    <w:right w:val="single" w:sz="8" w:space="0" w:color="auto"/>
                  </w:tcBorders>
                  <w:tcMar>
                    <w:top w:w="27" w:type="dxa"/>
                    <w:left w:w="136" w:type="dxa"/>
                    <w:bottom w:w="27" w:type="dxa"/>
                    <w:right w:w="136" w:type="dxa"/>
                  </w:tcMar>
                  <w:vAlign w:val="center"/>
                </w:tcPr>
                <w:p>
                  <w:pPr>
                    <w:widowControl/>
                    <w:wordWrap w:val="0"/>
                    <w:spacing w:before="100" w:beforeAutospacing="1" w:after="100" w:afterAutospacing="1"/>
                    <w:jc w:val="center"/>
                    <w:rPr>
                      <w:rFonts w:ascii="宋体" w:hAnsi="宋体" w:cs="宋体"/>
                      <w:kern w:val="0"/>
                      <w:szCs w:val="21"/>
                    </w:rPr>
                  </w:pPr>
                  <w:r>
                    <w:rPr>
                      <w:rFonts w:ascii="宋体" w:hAnsi="宋体" w:cs="宋体" w:hint="eastAsia"/>
                      <w:kern w:val="0"/>
                      <w:szCs w:val="21"/>
                    </w:rPr>
                    <w:t>0.2%</w:t>
                  </w:r>
                </w:p>
              </w:tc>
            </w:tr>
            <w:tr>
              <w:tblPrEx>
                <w:tblW w:w="6343" w:type="dxa"/>
                <w:tblInd w:w="0" w:type="dxa"/>
                <w:tblLayout w:type="fixed"/>
                <w:tblCellMar>
                  <w:top w:w="15" w:type="dxa"/>
                  <w:left w:w="15" w:type="dxa"/>
                  <w:bottom w:w="15" w:type="dxa"/>
                  <w:right w:w="15" w:type="dxa"/>
                </w:tblCellMar>
              </w:tblPrEx>
              <w:trPr>
                <w:trHeight w:val="299"/>
              </w:trPr>
              <w:tc>
                <w:tcPr>
                  <w:tcW w:w="2803" w:type="dxa"/>
                  <w:tcBorders>
                    <w:top w:val="nil"/>
                    <w:left w:val="single" w:sz="8" w:space="0" w:color="auto"/>
                    <w:bottom w:val="single" w:sz="8" w:space="0" w:color="auto"/>
                    <w:right w:val="single" w:sz="8" w:space="0" w:color="auto"/>
                  </w:tcBorders>
                  <w:tcMar>
                    <w:top w:w="27" w:type="dxa"/>
                    <w:left w:w="136" w:type="dxa"/>
                    <w:bottom w:w="27" w:type="dxa"/>
                    <w:right w:w="136" w:type="dxa"/>
                  </w:tcMar>
                  <w:vAlign w:val="center"/>
                </w:tcPr>
                <w:p>
                  <w:pPr>
                    <w:widowControl/>
                    <w:wordWrap w:val="0"/>
                    <w:spacing w:before="100" w:beforeAutospacing="1" w:after="100" w:afterAutospacing="1"/>
                    <w:jc w:val="center"/>
                    <w:rPr>
                      <w:rFonts w:ascii="宋体" w:hAnsi="宋体" w:cs="宋体"/>
                      <w:kern w:val="0"/>
                      <w:szCs w:val="21"/>
                    </w:rPr>
                  </w:pPr>
                  <w:r>
                    <w:rPr>
                      <w:rFonts w:ascii="宋体" w:hAnsi="宋体" w:cs="宋体" w:hint="eastAsia"/>
                      <w:kern w:val="0"/>
                      <w:szCs w:val="21"/>
                    </w:rPr>
                    <w:t>1亿元（含）-5亿元</w:t>
                  </w:r>
                </w:p>
              </w:tc>
              <w:tc>
                <w:tcPr>
                  <w:tcW w:w="1130" w:type="dxa"/>
                  <w:tcBorders>
                    <w:top w:val="nil"/>
                    <w:left w:val="nil"/>
                    <w:bottom w:val="single" w:sz="8" w:space="0" w:color="auto"/>
                    <w:right w:val="single" w:sz="8" w:space="0" w:color="auto"/>
                  </w:tcBorders>
                  <w:tcMar>
                    <w:top w:w="27" w:type="dxa"/>
                    <w:left w:w="136" w:type="dxa"/>
                    <w:bottom w:w="27" w:type="dxa"/>
                    <w:right w:w="136" w:type="dxa"/>
                  </w:tcMar>
                  <w:vAlign w:val="center"/>
                </w:tcPr>
                <w:p>
                  <w:pPr>
                    <w:widowControl/>
                    <w:wordWrap w:val="0"/>
                    <w:spacing w:before="100" w:beforeAutospacing="1" w:after="100" w:afterAutospacing="1"/>
                    <w:jc w:val="center"/>
                    <w:rPr>
                      <w:rFonts w:ascii="宋体" w:hAnsi="宋体" w:cs="宋体"/>
                      <w:kern w:val="0"/>
                      <w:szCs w:val="21"/>
                    </w:rPr>
                  </w:pPr>
                  <w:r>
                    <w:rPr>
                      <w:rFonts w:ascii="宋体" w:hAnsi="宋体" w:cs="宋体" w:hint="eastAsia"/>
                      <w:kern w:val="0"/>
                      <w:szCs w:val="21"/>
                    </w:rPr>
                    <w:t>0.05%</w:t>
                  </w:r>
                </w:p>
              </w:tc>
              <w:tc>
                <w:tcPr>
                  <w:tcW w:w="1217" w:type="dxa"/>
                  <w:tcBorders>
                    <w:top w:val="nil"/>
                    <w:left w:val="nil"/>
                    <w:bottom w:val="single" w:sz="8" w:space="0" w:color="auto"/>
                    <w:right w:val="single" w:sz="8" w:space="0" w:color="auto"/>
                  </w:tcBorders>
                  <w:tcMar>
                    <w:top w:w="27" w:type="dxa"/>
                    <w:left w:w="136" w:type="dxa"/>
                    <w:bottom w:w="27" w:type="dxa"/>
                    <w:right w:w="136" w:type="dxa"/>
                  </w:tcMar>
                  <w:vAlign w:val="center"/>
                </w:tcPr>
                <w:p>
                  <w:pPr>
                    <w:widowControl/>
                    <w:wordWrap w:val="0"/>
                    <w:spacing w:before="100" w:beforeAutospacing="1" w:after="100" w:afterAutospacing="1"/>
                    <w:jc w:val="center"/>
                    <w:rPr>
                      <w:rFonts w:ascii="宋体" w:hAnsi="宋体" w:cs="宋体"/>
                      <w:kern w:val="0"/>
                      <w:szCs w:val="21"/>
                    </w:rPr>
                  </w:pPr>
                  <w:r>
                    <w:rPr>
                      <w:rFonts w:ascii="宋体" w:hAnsi="宋体" w:cs="宋体" w:hint="eastAsia"/>
                      <w:kern w:val="0"/>
                      <w:szCs w:val="21"/>
                    </w:rPr>
                    <w:t>0.05%</w:t>
                  </w:r>
                </w:p>
              </w:tc>
              <w:tc>
                <w:tcPr>
                  <w:tcW w:w="1193" w:type="dxa"/>
                  <w:tcBorders>
                    <w:top w:val="nil"/>
                    <w:left w:val="nil"/>
                    <w:bottom w:val="single" w:sz="8" w:space="0" w:color="auto"/>
                    <w:right w:val="single" w:sz="8" w:space="0" w:color="auto"/>
                  </w:tcBorders>
                  <w:tcMar>
                    <w:top w:w="27" w:type="dxa"/>
                    <w:left w:w="136" w:type="dxa"/>
                    <w:bottom w:w="27" w:type="dxa"/>
                    <w:right w:w="136" w:type="dxa"/>
                  </w:tcMar>
                  <w:vAlign w:val="center"/>
                </w:tcPr>
                <w:p>
                  <w:pPr>
                    <w:widowControl/>
                    <w:wordWrap w:val="0"/>
                    <w:spacing w:before="100" w:beforeAutospacing="1" w:after="100" w:afterAutospacing="1"/>
                    <w:jc w:val="center"/>
                    <w:rPr>
                      <w:rFonts w:ascii="宋体" w:hAnsi="宋体" w:cs="宋体"/>
                      <w:kern w:val="0"/>
                      <w:szCs w:val="21"/>
                    </w:rPr>
                  </w:pPr>
                  <w:r>
                    <w:rPr>
                      <w:rFonts w:ascii="宋体" w:hAnsi="宋体" w:cs="宋体" w:hint="eastAsia"/>
                      <w:kern w:val="0"/>
                      <w:szCs w:val="21"/>
                    </w:rPr>
                    <w:t>0.05%</w:t>
                  </w:r>
                </w:p>
              </w:tc>
            </w:tr>
            <w:tr>
              <w:tblPrEx>
                <w:tblW w:w="6343" w:type="dxa"/>
                <w:tblInd w:w="0" w:type="dxa"/>
                <w:tblLayout w:type="fixed"/>
                <w:tblCellMar>
                  <w:top w:w="15" w:type="dxa"/>
                  <w:left w:w="15" w:type="dxa"/>
                  <w:bottom w:w="15" w:type="dxa"/>
                  <w:right w:w="15" w:type="dxa"/>
                </w:tblCellMar>
              </w:tblPrEx>
              <w:trPr>
                <w:trHeight w:val="299"/>
              </w:trPr>
              <w:tc>
                <w:tcPr>
                  <w:tcW w:w="2803" w:type="dxa"/>
                  <w:tcBorders>
                    <w:top w:val="nil"/>
                    <w:left w:val="single" w:sz="8" w:space="0" w:color="auto"/>
                    <w:bottom w:val="single" w:sz="8" w:space="0" w:color="auto"/>
                    <w:right w:val="single" w:sz="8" w:space="0" w:color="auto"/>
                  </w:tcBorders>
                  <w:tcMar>
                    <w:top w:w="27" w:type="dxa"/>
                    <w:left w:w="136" w:type="dxa"/>
                    <w:bottom w:w="27" w:type="dxa"/>
                    <w:right w:w="136" w:type="dxa"/>
                  </w:tcMar>
                  <w:vAlign w:val="center"/>
                </w:tcPr>
                <w:p>
                  <w:pPr>
                    <w:widowControl/>
                    <w:wordWrap w:val="0"/>
                    <w:spacing w:before="100" w:beforeAutospacing="1" w:after="100" w:afterAutospacing="1"/>
                    <w:jc w:val="center"/>
                    <w:rPr>
                      <w:rFonts w:ascii="宋体" w:hAnsi="宋体" w:cs="宋体"/>
                      <w:kern w:val="0"/>
                      <w:szCs w:val="21"/>
                    </w:rPr>
                  </w:pPr>
                  <w:r>
                    <w:rPr>
                      <w:rFonts w:ascii="宋体" w:hAnsi="宋体" w:cs="宋体" w:hint="eastAsia"/>
                      <w:kern w:val="0"/>
                      <w:szCs w:val="21"/>
                    </w:rPr>
                    <w:t>5亿元（含）-10亿元</w:t>
                  </w:r>
                </w:p>
              </w:tc>
              <w:tc>
                <w:tcPr>
                  <w:tcW w:w="1130" w:type="dxa"/>
                  <w:tcBorders>
                    <w:top w:val="nil"/>
                    <w:left w:val="nil"/>
                    <w:bottom w:val="single" w:sz="8" w:space="0" w:color="auto"/>
                    <w:right w:val="single" w:sz="8" w:space="0" w:color="auto"/>
                  </w:tcBorders>
                  <w:tcMar>
                    <w:top w:w="27" w:type="dxa"/>
                    <w:left w:w="136" w:type="dxa"/>
                    <w:bottom w:w="27" w:type="dxa"/>
                    <w:right w:w="136" w:type="dxa"/>
                  </w:tcMar>
                  <w:vAlign w:val="center"/>
                </w:tcPr>
                <w:p>
                  <w:pPr>
                    <w:widowControl/>
                    <w:wordWrap w:val="0"/>
                    <w:spacing w:before="100" w:beforeAutospacing="1" w:after="100" w:afterAutospacing="1"/>
                    <w:jc w:val="center"/>
                    <w:rPr>
                      <w:rFonts w:ascii="宋体" w:hAnsi="宋体" w:cs="宋体"/>
                      <w:kern w:val="0"/>
                      <w:szCs w:val="21"/>
                    </w:rPr>
                  </w:pPr>
                  <w:r>
                    <w:rPr>
                      <w:rFonts w:ascii="宋体" w:hAnsi="宋体" w:cs="宋体" w:hint="eastAsia"/>
                      <w:kern w:val="0"/>
                      <w:szCs w:val="21"/>
                    </w:rPr>
                    <w:t>0.035%</w:t>
                  </w:r>
                </w:p>
              </w:tc>
              <w:tc>
                <w:tcPr>
                  <w:tcW w:w="1217" w:type="dxa"/>
                  <w:tcBorders>
                    <w:top w:val="nil"/>
                    <w:left w:val="nil"/>
                    <w:bottom w:val="single" w:sz="8" w:space="0" w:color="auto"/>
                    <w:right w:val="single" w:sz="8" w:space="0" w:color="auto"/>
                  </w:tcBorders>
                  <w:tcMar>
                    <w:top w:w="27" w:type="dxa"/>
                    <w:left w:w="136" w:type="dxa"/>
                    <w:bottom w:w="27" w:type="dxa"/>
                    <w:right w:w="136" w:type="dxa"/>
                  </w:tcMar>
                  <w:vAlign w:val="center"/>
                </w:tcPr>
                <w:p>
                  <w:pPr>
                    <w:widowControl/>
                    <w:wordWrap w:val="0"/>
                    <w:spacing w:before="100" w:beforeAutospacing="1" w:after="100" w:afterAutospacing="1"/>
                    <w:jc w:val="center"/>
                    <w:rPr>
                      <w:rFonts w:ascii="宋体" w:hAnsi="宋体" w:cs="宋体"/>
                      <w:kern w:val="0"/>
                      <w:szCs w:val="21"/>
                    </w:rPr>
                  </w:pPr>
                  <w:r>
                    <w:rPr>
                      <w:rFonts w:ascii="宋体" w:hAnsi="宋体" w:cs="宋体" w:hint="eastAsia"/>
                      <w:kern w:val="0"/>
                      <w:szCs w:val="21"/>
                    </w:rPr>
                    <w:t>0.035%</w:t>
                  </w:r>
                </w:p>
              </w:tc>
              <w:tc>
                <w:tcPr>
                  <w:tcW w:w="1193" w:type="dxa"/>
                  <w:tcBorders>
                    <w:top w:val="nil"/>
                    <w:left w:val="nil"/>
                    <w:bottom w:val="single" w:sz="8" w:space="0" w:color="auto"/>
                    <w:right w:val="single" w:sz="8" w:space="0" w:color="auto"/>
                  </w:tcBorders>
                  <w:tcMar>
                    <w:top w:w="27" w:type="dxa"/>
                    <w:left w:w="136" w:type="dxa"/>
                    <w:bottom w:w="27" w:type="dxa"/>
                    <w:right w:w="136" w:type="dxa"/>
                  </w:tcMar>
                  <w:vAlign w:val="center"/>
                </w:tcPr>
                <w:p>
                  <w:pPr>
                    <w:widowControl/>
                    <w:wordWrap w:val="0"/>
                    <w:spacing w:before="100" w:beforeAutospacing="1" w:after="100" w:afterAutospacing="1"/>
                    <w:jc w:val="center"/>
                    <w:rPr>
                      <w:rFonts w:ascii="宋体" w:hAnsi="宋体" w:cs="宋体"/>
                      <w:kern w:val="0"/>
                      <w:szCs w:val="21"/>
                    </w:rPr>
                  </w:pPr>
                  <w:r>
                    <w:rPr>
                      <w:rFonts w:ascii="宋体" w:hAnsi="宋体" w:cs="宋体" w:hint="eastAsia"/>
                      <w:kern w:val="0"/>
                      <w:szCs w:val="21"/>
                    </w:rPr>
                    <w:t>0.035%</w:t>
                  </w:r>
                </w:p>
              </w:tc>
            </w:tr>
            <w:tr>
              <w:tblPrEx>
                <w:tblW w:w="6343" w:type="dxa"/>
                <w:tblInd w:w="0" w:type="dxa"/>
                <w:tblLayout w:type="fixed"/>
                <w:tblCellMar>
                  <w:top w:w="15" w:type="dxa"/>
                  <w:left w:w="15" w:type="dxa"/>
                  <w:bottom w:w="15" w:type="dxa"/>
                  <w:right w:w="15" w:type="dxa"/>
                </w:tblCellMar>
              </w:tblPrEx>
              <w:trPr>
                <w:trHeight w:val="299"/>
              </w:trPr>
              <w:tc>
                <w:tcPr>
                  <w:tcW w:w="2803" w:type="dxa"/>
                  <w:tcBorders>
                    <w:top w:val="nil"/>
                    <w:left w:val="single" w:sz="8" w:space="0" w:color="auto"/>
                    <w:bottom w:val="single" w:sz="8" w:space="0" w:color="auto"/>
                    <w:right w:val="single" w:sz="8" w:space="0" w:color="auto"/>
                  </w:tcBorders>
                  <w:tcMar>
                    <w:top w:w="27" w:type="dxa"/>
                    <w:left w:w="136" w:type="dxa"/>
                    <w:bottom w:w="27" w:type="dxa"/>
                    <w:right w:w="136" w:type="dxa"/>
                  </w:tcMar>
                  <w:vAlign w:val="center"/>
                </w:tcPr>
                <w:p>
                  <w:pPr>
                    <w:widowControl/>
                    <w:wordWrap w:val="0"/>
                    <w:spacing w:before="100" w:beforeAutospacing="1" w:after="100" w:afterAutospacing="1"/>
                    <w:jc w:val="center"/>
                    <w:rPr>
                      <w:rFonts w:ascii="宋体" w:hAnsi="宋体" w:cs="宋体"/>
                      <w:kern w:val="0"/>
                      <w:szCs w:val="21"/>
                    </w:rPr>
                  </w:pPr>
                  <w:r>
                    <w:rPr>
                      <w:rFonts w:ascii="宋体" w:hAnsi="宋体" w:cs="宋体" w:hint="eastAsia"/>
                      <w:kern w:val="0"/>
                      <w:szCs w:val="21"/>
                    </w:rPr>
                    <w:t>10亿元（含）-50亿元</w:t>
                  </w:r>
                </w:p>
              </w:tc>
              <w:tc>
                <w:tcPr>
                  <w:tcW w:w="1130" w:type="dxa"/>
                  <w:tcBorders>
                    <w:top w:val="nil"/>
                    <w:left w:val="nil"/>
                    <w:bottom w:val="single" w:sz="8" w:space="0" w:color="auto"/>
                    <w:right w:val="single" w:sz="8" w:space="0" w:color="auto"/>
                  </w:tcBorders>
                  <w:tcMar>
                    <w:top w:w="27" w:type="dxa"/>
                    <w:left w:w="136" w:type="dxa"/>
                    <w:bottom w:w="27" w:type="dxa"/>
                    <w:right w:w="136" w:type="dxa"/>
                  </w:tcMar>
                  <w:vAlign w:val="center"/>
                </w:tcPr>
                <w:p>
                  <w:pPr>
                    <w:widowControl/>
                    <w:wordWrap w:val="0"/>
                    <w:spacing w:before="100" w:beforeAutospacing="1" w:after="100" w:afterAutospacing="1"/>
                    <w:jc w:val="center"/>
                    <w:rPr>
                      <w:rFonts w:ascii="宋体" w:hAnsi="宋体" w:cs="宋体"/>
                      <w:kern w:val="0"/>
                      <w:szCs w:val="21"/>
                    </w:rPr>
                  </w:pPr>
                  <w:r>
                    <w:rPr>
                      <w:rFonts w:ascii="宋体" w:hAnsi="宋体" w:cs="宋体" w:hint="eastAsia"/>
                      <w:kern w:val="0"/>
                      <w:szCs w:val="21"/>
                    </w:rPr>
                    <w:t>0.008%</w:t>
                  </w:r>
                </w:p>
              </w:tc>
              <w:tc>
                <w:tcPr>
                  <w:tcW w:w="1217" w:type="dxa"/>
                  <w:tcBorders>
                    <w:top w:val="nil"/>
                    <w:left w:val="nil"/>
                    <w:bottom w:val="single" w:sz="8" w:space="0" w:color="auto"/>
                    <w:right w:val="single" w:sz="8" w:space="0" w:color="auto"/>
                  </w:tcBorders>
                  <w:tcMar>
                    <w:top w:w="27" w:type="dxa"/>
                    <w:left w:w="136" w:type="dxa"/>
                    <w:bottom w:w="27" w:type="dxa"/>
                    <w:right w:w="136" w:type="dxa"/>
                  </w:tcMar>
                  <w:vAlign w:val="center"/>
                </w:tcPr>
                <w:p>
                  <w:pPr>
                    <w:widowControl/>
                    <w:wordWrap w:val="0"/>
                    <w:spacing w:before="100" w:beforeAutospacing="1" w:after="100" w:afterAutospacing="1"/>
                    <w:jc w:val="center"/>
                    <w:rPr>
                      <w:rFonts w:ascii="宋体" w:hAnsi="宋体" w:cs="宋体"/>
                      <w:kern w:val="0"/>
                      <w:szCs w:val="21"/>
                    </w:rPr>
                  </w:pPr>
                  <w:r>
                    <w:rPr>
                      <w:rFonts w:ascii="宋体" w:hAnsi="宋体" w:cs="宋体" w:hint="eastAsia"/>
                      <w:kern w:val="0"/>
                      <w:szCs w:val="21"/>
                    </w:rPr>
                    <w:t>0.008%</w:t>
                  </w:r>
                </w:p>
              </w:tc>
              <w:tc>
                <w:tcPr>
                  <w:tcW w:w="1193" w:type="dxa"/>
                  <w:tcBorders>
                    <w:top w:val="nil"/>
                    <w:left w:val="nil"/>
                    <w:bottom w:val="single" w:sz="8" w:space="0" w:color="auto"/>
                    <w:right w:val="single" w:sz="8" w:space="0" w:color="auto"/>
                  </w:tcBorders>
                  <w:tcMar>
                    <w:top w:w="27" w:type="dxa"/>
                    <w:left w:w="136" w:type="dxa"/>
                    <w:bottom w:w="27" w:type="dxa"/>
                    <w:right w:w="136" w:type="dxa"/>
                  </w:tcMar>
                  <w:vAlign w:val="center"/>
                </w:tcPr>
                <w:p>
                  <w:pPr>
                    <w:widowControl/>
                    <w:wordWrap w:val="0"/>
                    <w:spacing w:before="100" w:beforeAutospacing="1" w:after="100" w:afterAutospacing="1"/>
                    <w:jc w:val="center"/>
                    <w:rPr>
                      <w:rFonts w:ascii="宋体" w:hAnsi="宋体" w:cs="宋体"/>
                      <w:kern w:val="0"/>
                      <w:szCs w:val="21"/>
                    </w:rPr>
                  </w:pPr>
                  <w:r>
                    <w:rPr>
                      <w:rFonts w:ascii="宋体" w:hAnsi="宋体" w:cs="宋体" w:hint="eastAsia"/>
                      <w:kern w:val="0"/>
                      <w:szCs w:val="21"/>
                    </w:rPr>
                    <w:t>0.008%</w:t>
                  </w:r>
                </w:p>
              </w:tc>
            </w:tr>
            <w:tr>
              <w:tblPrEx>
                <w:tblW w:w="6343" w:type="dxa"/>
                <w:tblInd w:w="0" w:type="dxa"/>
                <w:tblLayout w:type="fixed"/>
                <w:tblCellMar>
                  <w:top w:w="15" w:type="dxa"/>
                  <w:left w:w="15" w:type="dxa"/>
                  <w:bottom w:w="15" w:type="dxa"/>
                  <w:right w:w="15" w:type="dxa"/>
                </w:tblCellMar>
              </w:tblPrEx>
              <w:trPr>
                <w:trHeight w:val="299"/>
              </w:trPr>
              <w:tc>
                <w:tcPr>
                  <w:tcW w:w="2803" w:type="dxa"/>
                  <w:tcBorders>
                    <w:top w:val="nil"/>
                    <w:left w:val="single" w:sz="8" w:space="0" w:color="auto"/>
                    <w:bottom w:val="single" w:sz="8" w:space="0" w:color="auto"/>
                    <w:right w:val="single" w:sz="8" w:space="0" w:color="auto"/>
                  </w:tcBorders>
                  <w:tcMar>
                    <w:top w:w="27" w:type="dxa"/>
                    <w:left w:w="136" w:type="dxa"/>
                    <w:bottom w:w="27" w:type="dxa"/>
                    <w:right w:w="136" w:type="dxa"/>
                  </w:tcMar>
                  <w:vAlign w:val="center"/>
                </w:tcPr>
                <w:p>
                  <w:pPr>
                    <w:widowControl/>
                    <w:wordWrap w:val="0"/>
                    <w:spacing w:before="100" w:beforeAutospacing="1" w:after="100" w:afterAutospacing="1"/>
                    <w:jc w:val="center"/>
                    <w:rPr>
                      <w:rFonts w:ascii="宋体" w:hAnsi="宋体" w:cs="宋体"/>
                      <w:kern w:val="0"/>
                      <w:szCs w:val="21"/>
                    </w:rPr>
                  </w:pPr>
                  <w:r>
                    <w:rPr>
                      <w:rFonts w:ascii="宋体" w:hAnsi="宋体" w:cs="宋体" w:hint="eastAsia"/>
                      <w:kern w:val="0"/>
                      <w:szCs w:val="21"/>
                    </w:rPr>
                    <w:t>50亿元（含）-100亿元</w:t>
                  </w:r>
                </w:p>
              </w:tc>
              <w:tc>
                <w:tcPr>
                  <w:tcW w:w="1130" w:type="dxa"/>
                  <w:tcBorders>
                    <w:top w:val="nil"/>
                    <w:left w:val="nil"/>
                    <w:bottom w:val="single" w:sz="8" w:space="0" w:color="auto"/>
                    <w:right w:val="single" w:sz="8" w:space="0" w:color="auto"/>
                  </w:tcBorders>
                  <w:tcMar>
                    <w:top w:w="27" w:type="dxa"/>
                    <w:left w:w="136" w:type="dxa"/>
                    <w:bottom w:w="27" w:type="dxa"/>
                    <w:right w:w="136" w:type="dxa"/>
                  </w:tcMar>
                  <w:vAlign w:val="center"/>
                </w:tcPr>
                <w:p>
                  <w:pPr>
                    <w:widowControl/>
                    <w:wordWrap w:val="0"/>
                    <w:spacing w:before="100" w:beforeAutospacing="1" w:after="100" w:afterAutospacing="1"/>
                    <w:jc w:val="center"/>
                    <w:rPr>
                      <w:rFonts w:ascii="宋体" w:hAnsi="宋体" w:cs="宋体"/>
                      <w:kern w:val="0"/>
                      <w:szCs w:val="21"/>
                    </w:rPr>
                  </w:pPr>
                  <w:r>
                    <w:rPr>
                      <w:rFonts w:ascii="宋体" w:hAnsi="宋体" w:cs="宋体" w:hint="eastAsia"/>
                      <w:kern w:val="0"/>
                      <w:szCs w:val="21"/>
                    </w:rPr>
                    <w:t>0.006%</w:t>
                  </w:r>
                </w:p>
              </w:tc>
              <w:tc>
                <w:tcPr>
                  <w:tcW w:w="1217" w:type="dxa"/>
                  <w:tcBorders>
                    <w:top w:val="nil"/>
                    <w:left w:val="nil"/>
                    <w:bottom w:val="single" w:sz="8" w:space="0" w:color="auto"/>
                    <w:right w:val="single" w:sz="8" w:space="0" w:color="auto"/>
                  </w:tcBorders>
                  <w:tcMar>
                    <w:top w:w="27" w:type="dxa"/>
                    <w:left w:w="136" w:type="dxa"/>
                    <w:bottom w:w="27" w:type="dxa"/>
                    <w:right w:w="136" w:type="dxa"/>
                  </w:tcMar>
                  <w:vAlign w:val="center"/>
                </w:tcPr>
                <w:p>
                  <w:pPr>
                    <w:widowControl/>
                    <w:wordWrap w:val="0"/>
                    <w:spacing w:before="100" w:beforeAutospacing="1" w:after="100" w:afterAutospacing="1"/>
                    <w:jc w:val="center"/>
                    <w:rPr>
                      <w:rFonts w:ascii="宋体" w:hAnsi="宋体" w:cs="宋体"/>
                      <w:kern w:val="0"/>
                      <w:szCs w:val="21"/>
                    </w:rPr>
                  </w:pPr>
                  <w:r>
                    <w:rPr>
                      <w:rFonts w:ascii="宋体" w:hAnsi="宋体" w:cs="宋体" w:hint="eastAsia"/>
                      <w:kern w:val="0"/>
                      <w:szCs w:val="21"/>
                    </w:rPr>
                    <w:t>0.006%</w:t>
                  </w:r>
                </w:p>
              </w:tc>
              <w:tc>
                <w:tcPr>
                  <w:tcW w:w="1193" w:type="dxa"/>
                  <w:tcBorders>
                    <w:top w:val="nil"/>
                    <w:left w:val="nil"/>
                    <w:bottom w:val="single" w:sz="8" w:space="0" w:color="auto"/>
                    <w:right w:val="single" w:sz="8" w:space="0" w:color="auto"/>
                  </w:tcBorders>
                  <w:tcMar>
                    <w:top w:w="27" w:type="dxa"/>
                    <w:left w:w="136" w:type="dxa"/>
                    <w:bottom w:w="27" w:type="dxa"/>
                    <w:right w:w="136" w:type="dxa"/>
                  </w:tcMar>
                  <w:vAlign w:val="center"/>
                </w:tcPr>
                <w:p>
                  <w:pPr>
                    <w:widowControl/>
                    <w:wordWrap w:val="0"/>
                    <w:spacing w:before="100" w:beforeAutospacing="1" w:after="100" w:afterAutospacing="1"/>
                    <w:jc w:val="center"/>
                    <w:rPr>
                      <w:rFonts w:ascii="宋体" w:hAnsi="宋体" w:cs="宋体"/>
                      <w:kern w:val="0"/>
                      <w:szCs w:val="21"/>
                    </w:rPr>
                  </w:pPr>
                  <w:r>
                    <w:rPr>
                      <w:rFonts w:ascii="宋体" w:hAnsi="宋体" w:cs="宋体" w:hint="eastAsia"/>
                      <w:kern w:val="0"/>
                      <w:szCs w:val="21"/>
                    </w:rPr>
                    <w:t>0.006%</w:t>
                  </w:r>
                </w:p>
              </w:tc>
            </w:tr>
            <w:tr>
              <w:tblPrEx>
                <w:tblW w:w="6343" w:type="dxa"/>
                <w:tblInd w:w="0" w:type="dxa"/>
                <w:tblLayout w:type="fixed"/>
                <w:tblCellMar>
                  <w:top w:w="15" w:type="dxa"/>
                  <w:left w:w="15" w:type="dxa"/>
                  <w:bottom w:w="15" w:type="dxa"/>
                  <w:right w:w="15" w:type="dxa"/>
                </w:tblCellMar>
              </w:tblPrEx>
              <w:trPr>
                <w:trHeight w:val="299"/>
              </w:trPr>
              <w:tc>
                <w:tcPr>
                  <w:tcW w:w="2803" w:type="dxa"/>
                  <w:tcBorders>
                    <w:top w:val="nil"/>
                    <w:left w:val="single" w:sz="8" w:space="0" w:color="auto"/>
                    <w:bottom w:val="single" w:sz="8" w:space="0" w:color="auto"/>
                    <w:right w:val="single" w:sz="8" w:space="0" w:color="auto"/>
                  </w:tcBorders>
                  <w:tcMar>
                    <w:top w:w="27" w:type="dxa"/>
                    <w:left w:w="136" w:type="dxa"/>
                    <w:bottom w:w="27" w:type="dxa"/>
                    <w:right w:w="136" w:type="dxa"/>
                  </w:tcMar>
                  <w:vAlign w:val="center"/>
                </w:tcPr>
                <w:p>
                  <w:pPr>
                    <w:widowControl/>
                    <w:wordWrap w:val="0"/>
                    <w:spacing w:before="100" w:beforeAutospacing="1" w:after="100" w:afterAutospacing="1"/>
                    <w:jc w:val="center"/>
                    <w:rPr>
                      <w:rFonts w:ascii="宋体" w:hAnsi="宋体" w:cs="宋体"/>
                      <w:kern w:val="0"/>
                      <w:szCs w:val="21"/>
                    </w:rPr>
                  </w:pPr>
                  <w:r>
                    <w:rPr>
                      <w:rFonts w:ascii="宋体" w:hAnsi="宋体" w:cs="宋体" w:hint="eastAsia"/>
                      <w:kern w:val="0"/>
                      <w:szCs w:val="21"/>
                    </w:rPr>
                    <w:t>100亿元（含）以上</w:t>
                  </w:r>
                </w:p>
              </w:tc>
              <w:tc>
                <w:tcPr>
                  <w:tcW w:w="1130" w:type="dxa"/>
                  <w:tcBorders>
                    <w:top w:val="nil"/>
                    <w:left w:val="nil"/>
                    <w:bottom w:val="single" w:sz="8" w:space="0" w:color="auto"/>
                    <w:right w:val="single" w:sz="8" w:space="0" w:color="auto"/>
                  </w:tcBorders>
                  <w:tcMar>
                    <w:top w:w="27" w:type="dxa"/>
                    <w:left w:w="136" w:type="dxa"/>
                    <w:bottom w:w="27" w:type="dxa"/>
                    <w:right w:w="136" w:type="dxa"/>
                  </w:tcMar>
                  <w:vAlign w:val="center"/>
                </w:tcPr>
                <w:p>
                  <w:pPr>
                    <w:widowControl/>
                    <w:wordWrap w:val="0"/>
                    <w:spacing w:before="100" w:beforeAutospacing="1" w:after="100" w:afterAutospacing="1"/>
                    <w:jc w:val="center"/>
                    <w:rPr>
                      <w:rFonts w:ascii="宋体" w:hAnsi="宋体" w:cs="宋体"/>
                      <w:kern w:val="0"/>
                      <w:szCs w:val="21"/>
                    </w:rPr>
                  </w:pPr>
                  <w:r>
                    <w:rPr>
                      <w:rFonts w:ascii="宋体" w:hAnsi="宋体" w:cs="宋体" w:hint="eastAsia"/>
                      <w:kern w:val="0"/>
                      <w:szCs w:val="21"/>
                    </w:rPr>
                    <w:t>0.004%</w:t>
                  </w:r>
                </w:p>
              </w:tc>
              <w:tc>
                <w:tcPr>
                  <w:tcW w:w="1217" w:type="dxa"/>
                  <w:tcBorders>
                    <w:top w:val="nil"/>
                    <w:left w:val="nil"/>
                    <w:bottom w:val="single" w:sz="8" w:space="0" w:color="auto"/>
                    <w:right w:val="single" w:sz="8" w:space="0" w:color="auto"/>
                  </w:tcBorders>
                  <w:tcMar>
                    <w:top w:w="27" w:type="dxa"/>
                    <w:left w:w="136" w:type="dxa"/>
                    <w:bottom w:w="27" w:type="dxa"/>
                    <w:right w:w="136" w:type="dxa"/>
                  </w:tcMar>
                  <w:vAlign w:val="center"/>
                </w:tcPr>
                <w:p>
                  <w:pPr>
                    <w:widowControl/>
                    <w:wordWrap w:val="0"/>
                    <w:spacing w:before="100" w:beforeAutospacing="1" w:after="100" w:afterAutospacing="1"/>
                    <w:jc w:val="center"/>
                    <w:rPr>
                      <w:rFonts w:ascii="宋体" w:hAnsi="宋体" w:cs="宋体"/>
                      <w:kern w:val="0"/>
                      <w:szCs w:val="21"/>
                    </w:rPr>
                  </w:pPr>
                  <w:r>
                    <w:rPr>
                      <w:rFonts w:ascii="宋体" w:hAnsi="宋体" w:cs="宋体" w:hint="eastAsia"/>
                      <w:kern w:val="0"/>
                      <w:szCs w:val="21"/>
                    </w:rPr>
                    <w:t>0.004%</w:t>
                  </w:r>
                </w:p>
              </w:tc>
              <w:tc>
                <w:tcPr>
                  <w:tcW w:w="1193" w:type="dxa"/>
                  <w:tcBorders>
                    <w:top w:val="nil"/>
                    <w:left w:val="nil"/>
                    <w:bottom w:val="single" w:sz="8" w:space="0" w:color="auto"/>
                    <w:right w:val="single" w:sz="8" w:space="0" w:color="auto"/>
                  </w:tcBorders>
                  <w:tcMar>
                    <w:top w:w="27" w:type="dxa"/>
                    <w:left w:w="136" w:type="dxa"/>
                    <w:bottom w:w="27" w:type="dxa"/>
                    <w:right w:w="136" w:type="dxa"/>
                  </w:tcMar>
                  <w:vAlign w:val="center"/>
                </w:tcPr>
                <w:p>
                  <w:pPr>
                    <w:widowControl/>
                    <w:wordWrap w:val="0"/>
                    <w:spacing w:before="100" w:beforeAutospacing="1" w:after="100" w:afterAutospacing="1"/>
                    <w:jc w:val="center"/>
                    <w:rPr>
                      <w:rFonts w:ascii="宋体" w:hAnsi="宋体" w:cs="宋体"/>
                      <w:kern w:val="0"/>
                      <w:szCs w:val="21"/>
                    </w:rPr>
                  </w:pPr>
                  <w:r>
                    <w:rPr>
                      <w:rFonts w:ascii="宋体" w:hAnsi="宋体" w:cs="宋体" w:hint="eastAsia"/>
                      <w:kern w:val="0"/>
                      <w:szCs w:val="21"/>
                    </w:rPr>
                    <w:t>0.004%</w:t>
                  </w:r>
                </w:p>
              </w:tc>
            </w:tr>
          </w:tbl>
          <w:p>
            <w:pPr>
              <w:snapToGrid w:val="0"/>
              <w:spacing w:line="360" w:lineRule="auto"/>
              <w:rPr>
                <w:rFonts w:ascii="宋体" w:hAnsi="宋体" w:cs="宋体"/>
                <w:sz w:val="24"/>
              </w:rPr>
            </w:pPr>
            <w:r>
              <w:rPr>
                <w:rFonts w:ascii="宋体" w:hAnsi="宋体" w:cs="宋体" w:hint="eastAsia"/>
                <w:sz w:val="24"/>
              </w:rPr>
              <w:t>例如：某货物招标中标金额/采购预算为人民币850万元，计算采购代理服务收费额如下：</w:t>
            </w:r>
          </w:p>
          <w:p>
            <w:pPr>
              <w:snapToGrid w:val="0"/>
              <w:spacing w:line="360" w:lineRule="auto"/>
              <w:ind w:left="332" w:firstLine="1470" w:leftChars="158" w:firstLineChars="700"/>
              <w:jc w:val="left"/>
              <w:rPr>
                <w:rFonts w:ascii="宋体" w:hAnsi="宋体" w:cs="宋体"/>
                <w:sz w:val="24"/>
              </w:rPr>
            </w:pPr>
            <w:r>
              <w:rPr>
                <w:rFonts w:ascii="宋体" w:hAnsi="宋体" w:cs="宋体" w:hint="eastAsia"/>
                <w:sz w:val="24"/>
              </w:rPr>
              <w:t>100万元×1.5%=1.5万元</w:t>
            </w:r>
          </w:p>
          <w:p>
            <w:pPr>
              <w:snapToGrid w:val="0"/>
              <w:spacing w:line="360" w:lineRule="auto"/>
              <w:ind w:left="332" w:firstLine="1260" w:leftChars="158" w:firstLineChars="600"/>
              <w:jc w:val="left"/>
              <w:rPr>
                <w:rFonts w:ascii="宋体" w:hAnsi="宋体" w:cs="宋体"/>
                <w:sz w:val="24"/>
              </w:rPr>
            </w:pPr>
            <w:r>
              <w:rPr>
                <w:rFonts w:ascii="宋体" w:hAnsi="宋体" w:cs="宋体" w:hint="eastAsia"/>
                <w:sz w:val="24"/>
              </w:rPr>
              <w:t>（500-100）万元×1.1%=4.4万元</w:t>
            </w:r>
          </w:p>
          <w:p>
            <w:pPr>
              <w:snapToGrid w:val="0"/>
              <w:spacing w:line="360" w:lineRule="auto"/>
              <w:ind w:left="332" w:firstLine="1155" w:leftChars="158" w:firstLineChars="550"/>
              <w:jc w:val="left"/>
              <w:rPr>
                <w:rFonts w:ascii="宋体" w:hAnsi="宋体" w:cs="宋体"/>
                <w:sz w:val="24"/>
              </w:rPr>
            </w:pPr>
            <w:r>
              <w:rPr>
                <w:rFonts w:ascii="宋体" w:hAnsi="宋体" w:cs="宋体" w:hint="eastAsia"/>
                <w:sz w:val="24"/>
              </w:rPr>
              <w:t>（850-500）万元×0.8%=2.8万元</w:t>
            </w:r>
          </w:p>
          <w:p>
            <w:pPr>
              <w:pStyle w:val="ListParagraph"/>
              <w:ind w:left="349" w:firstLine="1155" w:leftChars="166" w:firstLineChars="550"/>
              <w:jc w:val="left"/>
              <w:rPr>
                <w:rFonts w:ascii="宋体" w:hAnsi="宋体" w:cs="宋体"/>
                <w:sz w:val="24"/>
              </w:rPr>
            </w:pPr>
            <w:r>
              <w:rPr>
                <w:rFonts w:ascii="宋体" w:hAnsi="宋体" w:cs="宋体" w:hint="eastAsia"/>
                <w:sz w:val="24"/>
              </w:rPr>
              <w:t>合计收费=1.5+4.4+2.8=8.7（万元）</w:t>
            </w:r>
          </w:p>
          <w:p>
            <w:pPr>
              <w:pStyle w:val="ListParagraph"/>
              <w:numPr>
                <w:ilvl w:val="0"/>
                <w:numId w:val="32"/>
              </w:numPr>
              <w:tabs>
                <w:tab w:val="left" w:pos="524"/>
                <w:tab w:val="left" w:pos="601"/>
              </w:tabs>
              <w:adjustRightInd w:val="0"/>
              <w:snapToGrid w:val="0"/>
              <w:ind w:left="99" w:hanging="99" w:firstLineChars="0"/>
              <w:rPr>
                <w:rFonts w:asciiTheme="minorEastAsia" w:eastAsiaTheme="minorEastAsia" w:hAnsiTheme="minorEastAsia"/>
                <w:sz w:val="24"/>
              </w:rPr>
            </w:pPr>
            <w:r>
              <w:rPr>
                <w:rFonts w:asciiTheme="minorEastAsia" w:eastAsiaTheme="minorEastAsia" w:hAnsiTheme="minorEastAsia" w:hint="eastAsia"/>
                <w:sz w:val="24"/>
              </w:rPr>
              <w:t>投标人应签署第六章所附格式的采购代理服务费承诺书，作为投标文件的一部分</w:t>
            </w:r>
            <w:r>
              <w:rPr>
                <w:rFonts w:asciiTheme="minorEastAsia" w:eastAsiaTheme="minorEastAsia" w:hAnsiTheme="minorEastAsia"/>
                <w:sz w:val="24"/>
              </w:rPr>
              <w:t>。</w:t>
            </w:r>
          </w:p>
          <w:p>
            <w:pPr>
              <w:pStyle w:val="ListParagraph"/>
              <w:numPr>
                <w:ilvl w:val="0"/>
                <w:numId w:val="32"/>
              </w:numPr>
              <w:tabs>
                <w:tab w:val="left" w:pos="524"/>
                <w:tab w:val="left" w:pos="601"/>
              </w:tabs>
              <w:adjustRightInd w:val="0"/>
              <w:snapToGrid w:val="0"/>
              <w:ind w:left="99" w:hanging="99" w:firstLineChars="0"/>
              <w:rPr>
                <w:rFonts w:ascii="宋体" w:hAnsi="宋体"/>
                <w:sz w:val="24"/>
              </w:rPr>
            </w:pPr>
            <w:r>
              <w:rPr>
                <w:rFonts w:asciiTheme="minorEastAsia" w:eastAsiaTheme="minorEastAsia" w:hAnsiTheme="minorEastAsia" w:hint="eastAsia"/>
                <w:sz w:val="24"/>
              </w:rPr>
              <w:t>中标人在领取《中标通知书》前应向采购代理机构缴纳采购代理服务费。凭领取人身份证复印件并加盖公章领取《中标通知书》。如采用电汇或银行转账，须同时递交采购代理服务费缴费凭证复印件并加盖公章</w:t>
            </w:r>
            <w:r>
              <w:rPr>
                <w:rFonts w:asciiTheme="minorEastAsia" w:eastAsiaTheme="minorEastAsia" w:hAnsiTheme="minorEastAsia"/>
                <w:sz w:val="24"/>
              </w:rPr>
              <w:t>。</w:t>
            </w:r>
          </w:p>
        </w:tc>
      </w:tr>
      <w:tr>
        <w:tblPrEx>
          <w:tblW w:w="9986" w:type="dxa"/>
          <w:jc w:val="center"/>
          <w:tblLayout w:type="fixed"/>
          <w:tblCellMar>
            <w:top w:w="0" w:type="dxa"/>
            <w:left w:w="108" w:type="dxa"/>
            <w:bottom w:w="0" w:type="dxa"/>
            <w:right w:w="108" w:type="dxa"/>
          </w:tblCellMar>
        </w:tblPrEx>
        <w:trPr>
          <w:trHeight w:val="523"/>
          <w:jc w:val="center"/>
        </w:trPr>
        <w:tc>
          <w:tcPr>
            <w:tcW w:w="9986" w:type="dxa"/>
            <w:gridSpan w:val="4"/>
            <w:vAlign w:val="center"/>
          </w:tcPr>
          <w:p>
            <w:pPr>
              <w:jc w:val="center"/>
              <w:rPr>
                <w:rFonts w:asciiTheme="minorEastAsia" w:eastAsiaTheme="minorEastAsia" w:hAnsiTheme="minorEastAsia"/>
                <w:b/>
                <w:sz w:val="24"/>
              </w:rPr>
            </w:pPr>
            <w:r>
              <w:rPr>
                <w:rFonts w:asciiTheme="minorEastAsia" w:eastAsiaTheme="minorEastAsia" w:hAnsiTheme="minorEastAsia" w:hint="eastAsia"/>
                <w:b/>
                <w:sz w:val="24"/>
              </w:rPr>
              <w:t>其他说明</w:t>
            </w:r>
          </w:p>
        </w:tc>
      </w:tr>
      <w:tr>
        <w:tblPrEx>
          <w:tblW w:w="9986" w:type="dxa"/>
          <w:jc w:val="center"/>
          <w:tblLayout w:type="fixed"/>
          <w:tblCellMar>
            <w:top w:w="0" w:type="dxa"/>
            <w:left w:w="108" w:type="dxa"/>
            <w:bottom w:w="0" w:type="dxa"/>
            <w:right w:w="108" w:type="dxa"/>
          </w:tblCellMar>
        </w:tblPrEx>
        <w:trPr>
          <w:trHeight w:val="528"/>
          <w:jc w:val="center"/>
        </w:trPr>
        <w:tc>
          <w:tcPr>
            <w:tcW w:w="1314" w:type="dxa"/>
            <w:vAlign w:val="center"/>
          </w:tcPr>
          <w:p>
            <w:pPr>
              <w:jc w:val="center"/>
              <w:rPr>
                <w:rFonts w:asciiTheme="minorEastAsia" w:eastAsiaTheme="minorEastAsia" w:hAnsiTheme="minorEastAsia"/>
                <w:color w:val="auto"/>
                <w:sz w:val="24"/>
              </w:rPr>
            </w:pPr>
            <w:r>
              <w:rPr>
                <w:rFonts w:asciiTheme="minorEastAsia" w:eastAsiaTheme="minorEastAsia" w:hAnsiTheme="minorEastAsia" w:hint="eastAsia"/>
                <w:color w:val="auto"/>
                <w:sz w:val="24"/>
              </w:rPr>
              <w:t>/</w:t>
            </w:r>
          </w:p>
        </w:tc>
        <w:tc>
          <w:tcPr>
            <w:tcW w:w="708" w:type="dxa"/>
            <w:vAlign w:val="center"/>
          </w:tcPr>
          <w:p>
            <w:pPr>
              <w:jc w:val="center"/>
              <w:rPr>
                <w:rFonts w:asciiTheme="minorEastAsia" w:eastAsiaTheme="minorEastAsia" w:hAnsiTheme="minorEastAsia"/>
                <w:color w:val="auto"/>
                <w:sz w:val="24"/>
              </w:rPr>
            </w:pPr>
            <w:r>
              <w:rPr>
                <w:rFonts w:asciiTheme="minorEastAsia" w:eastAsiaTheme="minorEastAsia" w:hAnsiTheme="minorEastAsia" w:hint="eastAsia"/>
                <w:color w:val="auto"/>
                <w:sz w:val="24"/>
              </w:rPr>
              <w:t>/</w:t>
            </w:r>
          </w:p>
        </w:tc>
        <w:tc>
          <w:tcPr>
            <w:tcW w:w="1418" w:type="dxa"/>
            <w:vAlign w:val="center"/>
          </w:tcPr>
          <w:p>
            <w:pPr>
              <w:jc w:val="center"/>
              <w:rPr>
                <w:rFonts w:ascii="宋体" w:hAnsi="宋体" w:cs="宋体"/>
                <w:color w:val="auto"/>
                <w:sz w:val="24"/>
              </w:rPr>
            </w:pPr>
            <w:r>
              <w:rPr>
                <w:rFonts w:ascii="宋体" w:hAnsi="宋体" w:cs="宋体" w:hint="eastAsia"/>
                <w:color w:val="auto"/>
                <w:sz w:val="24"/>
              </w:rPr>
              <w:t>询问函、质疑函接受的具体联系方式</w:t>
            </w:r>
          </w:p>
        </w:tc>
        <w:tc>
          <w:tcPr>
            <w:tcW w:w="6546" w:type="dxa"/>
            <w:vAlign w:val="center"/>
          </w:tcPr>
          <w:p>
            <w:pPr>
              <w:pStyle w:val="ListParagraph"/>
              <w:tabs>
                <w:tab w:val="left" w:pos="0"/>
                <w:tab w:val="left" w:pos="99"/>
                <w:tab w:val="left" w:pos="2773"/>
              </w:tabs>
              <w:adjustRightInd w:val="0"/>
              <w:snapToGrid w:val="0"/>
              <w:ind w:firstLine="0" w:firstLineChars="0"/>
              <w:rPr>
                <w:rFonts w:asciiTheme="minorEastAsia" w:eastAsiaTheme="minorEastAsia" w:hAnsiTheme="minorEastAsia"/>
                <w:color w:val="auto"/>
                <w:sz w:val="24"/>
              </w:rPr>
            </w:pPr>
            <w:r>
              <w:rPr>
                <w:rFonts w:asciiTheme="minorEastAsia" w:eastAsiaTheme="minorEastAsia" w:hAnsiTheme="minorEastAsia" w:hint="eastAsia"/>
                <w:color w:val="auto"/>
                <w:sz w:val="24"/>
              </w:rPr>
              <w:t>地址：深圳市福田区竹子林中国经贸大厦10A、B</w:t>
            </w:r>
          </w:p>
          <w:p>
            <w:pPr>
              <w:pStyle w:val="ListParagraph"/>
              <w:tabs>
                <w:tab w:val="left" w:pos="0"/>
                <w:tab w:val="left" w:pos="99"/>
                <w:tab w:val="left" w:pos="2773"/>
              </w:tabs>
              <w:adjustRightInd w:val="0"/>
              <w:snapToGrid w:val="0"/>
              <w:ind w:firstLine="0" w:firstLineChars="0"/>
              <w:rPr>
                <w:rFonts w:asciiTheme="minorEastAsia" w:eastAsiaTheme="minorEastAsia" w:hAnsiTheme="minorEastAsia"/>
                <w:color w:val="auto"/>
                <w:sz w:val="24"/>
              </w:rPr>
            </w:pPr>
            <w:r>
              <w:rPr>
                <w:rFonts w:asciiTheme="minorEastAsia" w:eastAsiaTheme="minorEastAsia" w:hAnsiTheme="minorEastAsia" w:hint="eastAsia"/>
                <w:color w:val="auto"/>
                <w:sz w:val="24"/>
              </w:rPr>
              <w:t>联系人：</w:t>
            </w:r>
            <w:r>
              <w:rPr>
                <w:rFonts w:asciiTheme="minorEastAsia" w:eastAsiaTheme="minorEastAsia" w:hAnsiTheme="minorEastAsia" w:hint="eastAsia"/>
                <w:color w:val="auto"/>
                <w:sz w:val="24"/>
                <w:lang w:val="en-US" w:eastAsia="zh-CN"/>
              </w:rPr>
              <w:t>朱</w:t>
            </w:r>
            <w:r>
              <w:rPr>
                <w:rFonts w:asciiTheme="minorEastAsia" w:eastAsiaTheme="minorEastAsia" w:hAnsiTheme="minorEastAsia" w:hint="eastAsia"/>
                <w:color w:val="auto"/>
                <w:sz w:val="24"/>
              </w:rPr>
              <w:t>小姐</w:t>
            </w:r>
          </w:p>
          <w:p>
            <w:pPr>
              <w:pStyle w:val="ListParagraph"/>
              <w:tabs>
                <w:tab w:val="left" w:pos="0"/>
                <w:tab w:val="left" w:pos="99"/>
                <w:tab w:val="left" w:pos="2773"/>
              </w:tabs>
              <w:adjustRightInd w:val="0"/>
              <w:snapToGrid w:val="0"/>
              <w:ind w:firstLine="0" w:firstLineChars="0"/>
              <w:rPr>
                <w:rFonts w:asciiTheme="minorEastAsia" w:eastAsiaTheme="minorEastAsia" w:hAnsiTheme="minorEastAsia" w:hint="default"/>
                <w:color w:val="auto"/>
                <w:sz w:val="24"/>
                <w:lang w:val="en-US" w:eastAsia="zh-CN"/>
              </w:rPr>
            </w:pPr>
            <w:r>
              <w:rPr>
                <w:rFonts w:asciiTheme="minorEastAsia" w:eastAsiaTheme="minorEastAsia" w:hAnsiTheme="minorEastAsia" w:hint="eastAsia"/>
                <w:color w:val="auto"/>
                <w:sz w:val="24"/>
              </w:rPr>
              <w:t>联系电话：0755-8837 7571转</w:t>
            </w:r>
            <w:r>
              <w:rPr>
                <w:rFonts w:asciiTheme="minorEastAsia" w:eastAsiaTheme="minorEastAsia" w:hAnsiTheme="minorEastAsia" w:hint="eastAsia"/>
                <w:color w:val="auto"/>
                <w:sz w:val="24"/>
                <w:lang w:val="en-US" w:eastAsia="zh-CN"/>
              </w:rPr>
              <w:t>2314</w:t>
            </w:r>
          </w:p>
          <w:p>
            <w:pPr>
              <w:pStyle w:val="ListParagraph"/>
              <w:tabs>
                <w:tab w:val="left" w:pos="0"/>
                <w:tab w:val="left" w:pos="99"/>
                <w:tab w:val="left" w:pos="2773"/>
              </w:tabs>
              <w:adjustRightInd w:val="0"/>
              <w:snapToGrid w:val="0"/>
              <w:ind w:firstLine="0" w:firstLineChars="0"/>
              <w:rPr>
                <w:rFonts w:asciiTheme="minorEastAsia" w:eastAsiaTheme="minorEastAsia" w:hAnsiTheme="minorEastAsia"/>
                <w:color w:val="auto"/>
                <w:sz w:val="24"/>
              </w:rPr>
            </w:pPr>
            <w:r>
              <w:rPr>
                <w:rFonts w:asciiTheme="minorEastAsia" w:eastAsiaTheme="minorEastAsia" w:hAnsiTheme="minorEastAsia" w:hint="eastAsia"/>
                <w:color w:val="auto"/>
                <w:sz w:val="24"/>
              </w:rPr>
              <w:t>邮编：518040</w:t>
            </w:r>
          </w:p>
        </w:tc>
      </w:tr>
      <w:tr>
        <w:tblPrEx>
          <w:tblW w:w="9986" w:type="dxa"/>
          <w:jc w:val="center"/>
          <w:tblLayout w:type="fixed"/>
          <w:tblCellMar>
            <w:top w:w="0" w:type="dxa"/>
            <w:left w:w="108" w:type="dxa"/>
            <w:bottom w:w="0" w:type="dxa"/>
            <w:right w:w="108" w:type="dxa"/>
          </w:tblCellMar>
        </w:tblPrEx>
        <w:trPr>
          <w:trHeight w:val="528"/>
          <w:jc w:val="center"/>
        </w:trPr>
        <w:tc>
          <w:tcPr>
            <w:tcW w:w="1314" w:type="dxa"/>
            <w:vAlign w:val="center"/>
          </w:tcPr>
          <w:p>
            <w:pPr>
              <w:jc w:val="center"/>
              <w:rPr>
                <w:rFonts w:asciiTheme="minorEastAsia" w:eastAsiaTheme="minorEastAsia" w:hAnsiTheme="minorEastAsia"/>
                <w:sz w:val="24"/>
              </w:rPr>
            </w:pPr>
            <w:r>
              <w:rPr>
                <w:rFonts w:asciiTheme="minorEastAsia" w:eastAsiaTheme="minorEastAsia" w:hAnsiTheme="minorEastAsia" w:hint="eastAsia"/>
                <w:sz w:val="24"/>
              </w:rPr>
              <w:t>/</w:t>
            </w:r>
          </w:p>
        </w:tc>
        <w:tc>
          <w:tcPr>
            <w:tcW w:w="708" w:type="dxa"/>
            <w:vAlign w:val="center"/>
          </w:tcPr>
          <w:p>
            <w:pPr>
              <w:jc w:val="center"/>
              <w:rPr>
                <w:rFonts w:asciiTheme="minorEastAsia" w:eastAsiaTheme="minorEastAsia" w:hAnsiTheme="minorEastAsia"/>
                <w:sz w:val="24"/>
              </w:rPr>
            </w:pPr>
            <w:r>
              <w:rPr>
                <w:rFonts w:asciiTheme="minorEastAsia" w:eastAsiaTheme="minorEastAsia" w:hAnsiTheme="minorEastAsia" w:hint="eastAsia"/>
                <w:sz w:val="24"/>
              </w:rPr>
              <w:t>/</w:t>
            </w:r>
          </w:p>
        </w:tc>
        <w:tc>
          <w:tcPr>
            <w:tcW w:w="1418" w:type="dxa"/>
            <w:vAlign w:val="center"/>
          </w:tcPr>
          <w:p>
            <w:pPr>
              <w:jc w:val="center"/>
              <w:rPr>
                <w:rFonts w:ascii="宋体" w:hAnsi="宋体" w:cs="宋体"/>
                <w:color w:val="00B0F0"/>
                <w:sz w:val="24"/>
              </w:rPr>
            </w:pPr>
            <w:r>
              <w:rPr>
                <w:rFonts w:ascii="宋体" w:hAnsi="宋体" w:cs="宋体" w:hint="eastAsia"/>
                <w:sz w:val="24"/>
              </w:rPr>
              <w:t>分包</w:t>
            </w:r>
          </w:p>
        </w:tc>
        <w:tc>
          <w:tcPr>
            <w:tcW w:w="6546" w:type="dxa"/>
            <w:vAlign w:val="center"/>
          </w:tcPr>
          <w:p>
            <w:pPr>
              <w:rPr>
                <w:rFonts w:ascii="宋体" w:eastAsia="宋体" w:hAnsi="宋体" w:cs="宋体" w:hint="eastAsia"/>
                <w:color w:val="00B0F0"/>
                <w:sz w:val="24"/>
                <w:lang w:val="en-US" w:eastAsia="zh-CN"/>
              </w:rPr>
            </w:pPr>
            <w:r>
              <w:rPr>
                <w:rFonts w:ascii="宋体" w:hAnsi="宋体" w:cs="宋体" w:hint="eastAsia"/>
                <w:sz w:val="24"/>
              </w:rPr>
              <w:t>不允许</w:t>
            </w:r>
            <w:r>
              <w:rPr>
                <w:rFonts w:ascii="宋体" w:hAnsi="宋体" w:cs="宋体" w:hint="eastAsia"/>
                <w:sz w:val="24"/>
                <w:lang w:eastAsia="zh-CN"/>
              </w:rPr>
              <w:t>。</w:t>
            </w:r>
          </w:p>
        </w:tc>
      </w:tr>
    </w:tbl>
    <w:p>
      <w:pPr>
        <w:widowControl/>
        <w:jc w:val="left"/>
      </w:pPr>
    </w:p>
    <w:p>
      <w:pPr>
        <w:widowControl/>
        <w:jc w:val="left"/>
        <w:rPr>
          <w:strike/>
        </w:rPr>
      </w:pPr>
      <w:r>
        <w:rPr>
          <w:strike/>
        </w:rPr>
        <w:br w:type="page"/>
      </w:r>
    </w:p>
    <w:p>
      <w:pPr>
        <w:adjustRightInd w:val="0"/>
        <w:snapToGrid w:val="0"/>
        <w:rPr>
          <w:strike/>
        </w:rPr>
      </w:pPr>
    </w:p>
    <w:p>
      <w:pPr>
        <w:snapToGrid w:val="0"/>
        <w:spacing w:line="360" w:lineRule="auto"/>
        <w:jc w:val="center"/>
        <w:outlineLvl w:val="1"/>
        <w:rPr>
          <w:b/>
          <w:bCs/>
          <w:sz w:val="28"/>
          <w:szCs w:val="28"/>
        </w:rPr>
      </w:pPr>
      <w:bookmarkStart w:id="86" w:name="_Toc30702"/>
      <w:bookmarkStart w:id="87" w:name="_Toc256000013"/>
      <w:r>
        <w:rPr>
          <w:rFonts w:hint="eastAsia"/>
          <w:b/>
          <w:bCs/>
          <w:sz w:val="28"/>
          <w:szCs w:val="28"/>
        </w:rPr>
        <w:t>第二部分 投标人须知通用条款</w:t>
      </w:r>
      <w:bookmarkEnd w:id="87"/>
      <w:bookmarkEnd w:id="86"/>
    </w:p>
    <w:p>
      <w:pPr>
        <w:numPr>
          <w:ilvl w:val="0"/>
          <w:numId w:val="33"/>
        </w:numPr>
        <w:autoSpaceDE w:val="0"/>
        <w:autoSpaceDN w:val="0"/>
        <w:adjustRightInd w:val="0"/>
        <w:snapToGrid w:val="0"/>
        <w:spacing w:line="360" w:lineRule="auto"/>
        <w:ind w:left="708" w:hanging="529" w:hangingChars="252"/>
        <w:jc w:val="center"/>
        <w:outlineLvl w:val="2"/>
        <w:rPr>
          <w:rFonts w:ascii="宋体" w:hAnsi="宋体"/>
          <w:b/>
          <w:sz w:val="28"/>
          <w:szCs w:val="28"/>
        </w:rPr>
      </w:pPr>
      <w:bookmarkStart w:id="88" w:name="_Toc435174933"/>
      <w:bookmarkStart w:id="89" w:name="_Toc438223136"/>
      <w:bookmarkStart w:id="90" w:name="_Toc435516650"/>
      <w:bookmarkStart w:id="91" w:name="_Toc16485"/>
      <w:bookmarkStart w:id="92" w:name="_Toc256000014"/>
      <w:r>
        <w:rPr>
          <w:rFonts w:ascii="宋体" w:hAnsi="宋体" w:hint="eastAsia"/>
          <w:b/>
          <w:sz w:val="28"/>
          <w:szCs w:val="28"/>
        </w:rPr>
        <w:t>总</w:t>
      </w:r>
      <w:r>
        <w:rPr>
          <w:rFonts w:ascii="宋体" w:hAnsi="宋体"/>
          <w:b/>
          <w:sz w:val="28"/>
          <w:szCs w:val="28"/>
          <w:lang w:eastAsia="zh-TW"/>
        </w:rPr>
        <w:t xml:space="preserve"> </w:t>
      </w:r>
      <w:bookmarkEnd w:id="88"/>
      <w:bookmarkEnd w:id="89"/>
      <w:bookmarkEnd w:id="90"/>
      <w:bookmarkStart w:id="93" w:name="_Toc292267791"/>
      <w:r>
        <w:rPr>
          <w:rFonts w:ascii="宋体" w:hAnsi="宋体" w:hint="eastAsia"/>
          <w:b/>
          <w:sz w:val="28"/>
          <w:szCs w:val="28"/>
        </w:rPr>
        <w:t>则</w:t>
      </w:r>
      <w:bookmarkEnd w:id="92"/>
      <w:bookmarkEnd w:id="91"/>
    </w:p>
    <w:p>
      <w:pPr>
        <w:numPr>
          <w:ilvl w:val="0"/>
          <w:numId w:val="34"/>
        </w:numPr>
        <w:autoSpaceDE w:val="0"/>
        <w:autoSpaceDN w:val="0"/>
        <w:adjustRightInd w:val="0"/>
        <w:snapToGrid w:val="0"/>
        <w:spacing w:line="360" w:lineRule="auto"/>
        <w:ind w:left="487" w:hanging="424" w:hangingChars="202"/>
        <w:outlineLvl w:val="3"/>
        <w:rPr>
          <w:rFonts w:ascii="宋体" w:hAnsi="宋体"/>
          <w:b/>
          <w:bCs/>
          <w:sz w:val="24"/>
        </w:rPr>
      </w:pPr>
      <w:bookmarkEnd w:id="93"/>
      <w:r>
        <w:rPr>
          <w:rFonts w:ascii="宋体" w:hAnsi="宋体" w:hint="eastAsia"/>
          <w:b/>
          <w:bCs/>
          <w:sz w:val="24"/>
        </w:rPr>
        <w:t>适用范围</w:t>
      </w:r>
    </w:p>
    <w:p>
      <w:pPr>
        <w:numPr>
          <w:ilvl w:val="1"/>
          <w:numId w:val="34"/>
        </w:numPr>
        <w:autoSpaceDE w:val="0"/>
        <w:autoSpaceDN w:val="0"/>
        <w:adjustRightInd w:val="0"/>
        <w:snapToGrid w:val="0"/>
        <w:spacing w:line="360" w:lineRule="auto"/>
        <w:jc w:val="left"/>
        <w:rPr>
          <w:rFonts w:ascii="宋体" w:hAnsi="宋体"/>
          <w:b/>
          <w:bCs/>
          <w:sz w:val="24"/>
        </w:rPr>
      </w:pPr>
      <w:r>
        <w:rPr>
          <w:rFonts w:ascii="宋体" w:hAnsi="宋体" w:hint="eastAsia"/>
          <w:sz w:val="24"/>
        </w:rPr>
        <w:t>本招标文件适用于本</w:t>
      </w:r>
      <w:r>
        <w:rPr>
          <w:rFonts w:ascii="宋体" w:hAnsi="宋体" w:hint="eastAsia"/>
          <w:b/>
          <w:sz w:val="24"/>
        </w:rPr>
        <w:t>投标邀请</w:t>
      </w:r>
      <w:r>
        <w:rPr>
          <w:rFonts w:ascii="宋体" w:hAnsi="宋体" w:hint="eastAsia"/>
          <w:sz w:val="24"/>
        </w:rPr>
        <w:t>中所述项目的政府采购。</w:t>
      </w:r>
    </w:p>
    <w:p>
      <w:pPr>
        <w:numPr>
          <w:ilvl w:val="0"/>
          <w:numId w:val="34"/>
        </w:numPr>
        <w:autoSpaceDE w:val="0"/>
        <w:autoSpaceDN w:val="0"/>
        <w:adjustRightInd w:val="0"/>
        <w:snapToGrid w:val="0"/>
        <w:spacing w:line="360" w:lineRule="auto"/>
        <w:ind w:left="487" w:hanging="424" w:hangingChars="202"/>
        <w:outlineLvl w:val="3"/>
        <w:rPr>
          <w:rFonts w:ascii="宋体" w:hAnsi="宋体"/>
          <w:b/>
          <w:bCs/>
          <w:sz w:val="24"/>
        </w:rPr>
      </w:pPr>
      <w:r>
        <w:rPr>
          <w:rFonts w:ascii="宋体" w:hAnsi="宋体" w:hint="eastAsia"/>
          <w:b/>
          <w:bCs/>
          <w:sz w:val="24"/>
        </w:rPr>
        <w:t>定义</w:t>
      </w:r>
    </w:p>
    <w:p>
      <w:pPr>
        <w:numPr>
          <w:ilvl w:val="1"/>
          <w:numId w:val="34"/>
        </w:numPr>
        <w:autoSpaceDE w:val="0"/>
        <w:autoSpaceDN w:val="0"/>
        <w:adjustRightInd w:val="0"/>
        <w:snapToGrid w:val="0"/>
        <w:spacing w:line="360" w:lineRule="auto"/>
        <w:rPr>
          <w:rFonts w:ascii="宋体" w:hAnsi="宋体" w:cs="黑体"/>
          <w:b/>
          <w:bCs/>
          <w:sz w:val="24"/>
        </w:rPr>
      </w:pPr>
      <w:r>
        <w:rPr>
          <w:rFonts w:ascii="宋体" w:hAnsi="宋体" w:hint="eastAsia"/>
          <w:sz w:val="24"/>
        </w:rPr>
        <w:t>政府采购监督管理部门指</w:t>
      </w:r>
      <w:r>
        <w:rPr>
          <w:rFonts w:ascii="宋体" w:hAnsi="宋体" w:cs="宋体" w:hint="eastAsia"/>
          <w:sz w:val="24"/>
          <w:lang w:eastAsia="zh-TW"/>
        </w:rPr>
        <w:t>人民政府财政部门</w:t>
      </w:r>
      <w:r>
        <w:rPr>
          <w:rFonts w:ascii="宋体" w:hAnsi="宋体" w:cs="宋体" w:hint="eastAsia"/>
          <w:sz w:val="24"/>
        </w:rPr>
        <w:t>。</w:t>
      </w:r>
    </w:p>
    <w:p>
      <w:pPr>
        <w:numPr>
          <w:ilvl w:val="1"/>
          <w:numId w:val="34"/>
        </w:numPr>
        <w:autoSpaceDE w:val="0"/>
        <w:autoSpaceDN w:val="0"/>
        <w:adjustRightInd w:val="0"/>
        <w:snapToGrid w:val="0"/>
        <w:spacing w:line="360" w:lineRule="auto"/>
        <w:rPr>
          <w:rFonts w:ascii="宋体" w:hAnsi="宋体"/>
          <w:sz w:val="24"/>
        </w:rPr>
      </w:pPr>
      <w:r>
        <w:rPr>
          <w:rFonts w:ascii="宋体" w:hAnsi="宋体" w:hint="eastAsia"/>
          <w:sz w:val="24"/>
        </w:rPr>
        <w:t>采购人指各级</w:t>
      </w:r>
      <w:r>
        <w:rPr>
          <w:rFonts w:ascii="宋体" w:hAnsi="宋体"/>
          <w:sz w:val="24"/>
        </w:rPr>
        <w:t>国家机关、事业单位和团体组织</w:t>
      </w:r>
      <w:r>
        <w:rPr>
          <w:rFonts w:ascii="宋体" w:hAnsi="宋体" w:hint="eastAsia"/>
          <w:sz w:val="24"/>
        </w:rPr>
        <w:t>。</w:t>
      </w:r>
      <w:r>
        <w:rPr>
          <w:rFonts w:ascii="宋体" w:hAnsi="宋体" w:cs="宋体" w:hint="eastAsia"/>
          <w:sz w:val="24"/>
          <w:lang w:eastAsia="zh-TW"/>
        </w:rPr>
        <w:t>本招标文件中所述的采购人已拥有一笔</w:t>
      </w:r>
      <w:r>
        <w:rPr>
          <w:rFonts w:ascii="宋体" w:hAnsi="宋体" w:cs="宋体" w:hint="eastAsia"/>
          <w:sz w:val="24"/>
        </w:rPr>
        <w:t>财政性</w:t>
      </w:r>
      <w:r>
        <w:rPr>
          <w:rFonts w:ascii="宋体" w:hAnsi="宋体" w:cs="宋体" w:hint="eastAsia"/>
          <w:sz w:val="24"/>
          <w:lang w:eastAsia="zh-TW"/>
        </w:rPr>
        <w:t>资金</w:t>
      </w:r>
      <w:r>
        <w:rPr>
          <w:rFonts w:ascii="宋体" w:hAnsi="宋体" w:cs="宋体" w:hint="eastAsia"/>
          <w:sz w:val="24"/>
        </w:rPr>
        <w:t>/贷款或资金来源已落实</w:t>
      </w:r>
      <w:r>
        <w:rPr>
          <w:rFonts w:ascii="宋体" w:hAnsi="宋体" w:cs="宋体" w:hint="eastAsia"/>
          <w:sz w:val="24"/>
          <w:lang w:eastAsia="zh-TW"/>
        </w:rPr>
        <w:t>。采购人计划将一部分</w:t>
      </w:r>
      <w:r>
        <w:rPr>
          <w:rFonts w:ascii="宋体" w:hAnsi="宋体" w:cs="宋体" w:hint="eastAsia"/>
          <w:sz w:val="24"/>
        </w:rPr>
        <w:t>或全部</w:t>
      </w:r>
      <w:r>
        <w:rPr>
          <w:rFonts w:ascii="宋体" w:hAnsi="宋体" w:cs="宋体" w:hint="eastAsia"/>
          <w:sz w:val="24"/>
          <w:lang w:eastAsia="zh-TW"/>
        </w:rPr>
        <w:t>资金</w:t>
      </w:r>
      <w:r>
        <w:rPr>
          <w:rFonts w:ascii="宋体" w:hAnsi="宋体" w:cs="宋体" w:hint="eastAsia"/>
          <w:sz w:val="24"/>
        </w:rPr>
        <w:t>/贷款</w:t>
      </w:r>
      <w:r>
        <w:rPr>
          <w:rFonts w:ascii="宋体" w:hAnsi="宋体" w:cs="宋体" w:hint="eastAsia"/>
          <w:sz w:val="24"/>
          <w:lang w:eastAsia="zh-TW"/>
        </w:rPr>
        <w:t>用于支付本次</w:t>
      </w:r>
      <w:r>
        <w:rPr>
          <w:rFonts w:ascii="宋体" w:hAnsi="宋体" w:cs="宋体" w:hint="eastAsia"/>
          <w:sz w:val="24"/>
        </w:rPr>
        <w:t>招标</w:t>
      </w:r>
      <w:r>
        <w:rPr>
          <w:rFonts w:ascii="宋体" w:hAnsi="宋体" w:cs="宋体" w:hint="eastAsia"/>
          <w:sz w:val="24"/>
          <w:lang w:eastAsia="zh-TW"/>
        </w:rPr>
        <w:t>后所签订合同项下的款项</w:t>
      </w:r>
      <w:r>
        <w:rPr>
          <w:rFonts w:ascii="宋体" w:hAnsi="宋体" w:cs="宋体" w:hint="eastAsia"/>
          <w:sz w:val="24"/>
        </w:rPr>
        <w:t>。</w:t>
      </w:r>
    </w:p>
    <w:p>
      <w:pPr>
        <w:numPr>
          <w:ilvl w:val="1"/>
          <w:numId w:val="34"/>
        </w:numPr>
        <w:autoSpaceDE w:val="0"/>
        <w:autoSpaceDN w:val="0"/>
        <w:adjustRightInd w:val="0"/>
        <w:snapToGrid w:val="0"/>
        <w:spacing w:line="360" w:lineRule="auto"/>
        <w:rPr>
          <w:rFonts w:ascii="宋体" w:hAnsi="宋体"/>
          <w:strike/>
          <w:color w:val="0000CC"/>
          <w:sz w:val="24"/>
        </w:rPr>
      </w:pPr>
      <w:r>
        <w:rPr>
          <w:rFonts w:ascii="宋体" w:hAnsi="宋体" w:hint="eastAsia"/>
          <w:sz w:val="24"/>
        </w:rPr>
        <w:t>采购代理机构指按照规定办理名录登记并通过审核的代理机构，其联系方式见</w:t>
      </w:r>
      <w:r>
        <w:rPr>
          <w:rFonts w:hAnsi="宋体" w:hint="eastAsia"/>
          <w:snapToGrid w:val="0"/>
          <w:sz w:val="24"/>
        </w:rPr>
        <w:t>本</w:t>
      </w:r>
      <w:r>
        <w:rPr>
          <w:rFonts w:ascii="宋体" w:hAnsi="宋体" w:hint="eastAsia"/>
          <w:b/>
          <w:sz w:val="24"/>
        </w:rPr>
        <w:t>投标邀请</w:t>
      </w:r>
      <w:r>
        <w:rPr>
          <w:rFonts w:ascii="宋体" w:hAnsi="宋体" w:hint="eastAsia"/>
          <w:sz w:val="24"/>
        </w:rPr>
        <w:t>的联系事项。</w:t>
      </w:r>
    </w:p>
    <w:p>
      <w:pPr>
        <w:numPr>
          <w:ilvl w:val="1"/>
          <w:numId w:val="34"/>
        </w:numPr>
        <w:autoSpaceDE w:val="0"/>
        <w:autoSpaceDN w:val="0"/>
        <w:adjustRightInd w:val="0"/>
        <w:snapToGrid w:val="0"/>
        <w:spacing w:line="360" w:lineRule="auto"/>
        <w:rPr>
          <w:rFonts w:ascii="宋体" w:hAnsi="宋体"/>
          <w:sz w:val="24"/>
        </w:rPr>
      </w:pPr>
      <w:r>
        <w:rPr>
          <w:rFonts w:ascii="宋体" w:hAnsi="宋体" w:hint="eastAsia"/>
          <w:sz w:val="24"/>
        </w:rPr>
        <w:t>供应商是指在中华人民共和国境内注册（登记），向采购人提供货物、工程或者服务的法人、其他组织或者自然人。</w:t>
      </w:r>
    </w:p>
    <w:p>
      <w:pPr>
        <w:numPr>
          <w:ilvl w:val="1"/>
          <w:numId w:val="34"/>
        </w:numPr>
        <w:autoSpaceDE w:val="0"/>
        <w:autoSpaceDN w:val="0"/>
        <w:adjustRightInd w:val="0"/>
        <w:snapToGrid w:val="0"/>
        <w:spacing w:line="360" w:lineRule="auto"/>
        <w:rPr>
          <w:rFonts w:ascii="宋体" w:hAnsi="宋体"/>
          <w:sz w:val="24"/>
        </w:rPr>
      </w:pPr>
      <w:r>
        <w:rPr>
          <w:rFonts w:ascii="宋体" w:hAnsi="宋体" w:hint="eastAsia"/>
          <w:sz w:val="24"/>
        </w:rPr>
        <w:t>投标人是指响应招标、参加投标竞争的法人、其他组织或者自然人。</w:t>
      </w:r>
    </w:p>
    <w:p>
      <w:pPr>
        <w:numPr>
          <w:ilvl w:val="1"/>
          <w:numId w:val="34"/>
        </w:numPr>
        <w:autoSpaceDE w:val="0"/>
        <w:autoSpaceDN w:val="0"/>
        <w:adjustRightInd w:val="0"/>
        <w:snapToGrid w:val="0"/>
        <w:spacing w:line="360" w:lineRule="auto"/>
        <w:textAlignment w:val="baseline"/>
        <w:rPr>
          <w:rFonts w:ascii="宋体" w:hAnsi="宋体"/>
          <w:color w:val="000000" w:themeColor="text1"/>
          <w:sz w:val="24"/>
          <w14:textFill>
            <w14:solidFill>
              <w14:schemeClr w14:val="tx1"/>
            </w14:solidFill>
          </w14:textFill>
        </w:rPr>
      </w:pPr>
      <w:r>
        <w:rPr>
          <w:rFonts w:ascii="宋体" w:hAnsi="宋体" w:hint="eastAsia"/>
          <w:sz w:val="24"/>
        </w:rPr>
        <w:t>中标人是指经法定程序确定并授予合同的投标人。</w:t>
      </w:r>
    </w:p>
    <w:p>
      <w:pPr>
        <w:numPr>
          <w:ilvl w:val="1"/>
          <w:numId w:val="34"/>
        </w:numPr>
        <w:autoSpaceDE w:val="0"/>
        <w:autoSpaceDN w:val="0"/>
        <w:adjustRightInd w:val="0"/>
        <w:snapToGrid w:val="0"/>
        <w:spacing w:line="360" w:lineRule="auto"/>
        <w:textAlignment w:val="baseline"/>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中小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w:t>
      </w:r>
    </w:p>
    <w:p>
      <w:pPr>
        <w:numPr>
          <w:ilvl w:val="1"/>
          <w:numId w:val="34"/>
        </w:numPr>
        <w:autoSpaceDE w:val="0"/>
        <w:autoSpaceDN w:val="0"/>
        <w:adjustRightInd w:val="0"/>
        <w:snapToGrid w:val="0"/>
        <w:spacing w:line="360" w:lineRule="auto"/>
        <w:textAlignment w:val="baseline"/>
        <w:rPr>
          <w:rFonts w:ascii="宋体" w:hAnsi="宋体"/>
          <w:color w:val="000000" w:themeColor="text1"/>
          <w:sz w:val="24"/>
          <w14:textFill>
            <w14:solidFill>
              <w14:schemeClr w14:val="tx1"/>
            </w14:solidFill>
          </w14:textFill>
        </w:rPr>
      </w:pPr>
      <w:r>
        <w:rPr>
          <w:rFonts w:ascii="宋体" w:hAnsi="宋体" w:hint="eastAsia"/>
          <w:color w:val="000000" w:themeColor="text1"/>
          <w:sz w:val="24"/>
          <w14:textFill>
            <w14:solidFill>
              <w14:schemeClr w14:val="tx1"/>
            </w14:solidFill>
          </w14:textFill>
        </w:rPr>
        <w:t>电子投标文件</w:t>
      </w:r>
      <w:r>
        <w:rPr>
          <w:rFonts w:ascii="宋体" w:hAnsi="宋体"/>
          <w:color w:val="000000" w:themeColor="text1"/>
          <w:sz w:val="24"/>
          <w14:textFill>
            <w14:solidFill>
              <w14:schemeClr w14:val="tx1"/>
            </w14:solidFill>
          </w14:textFill>
        </w:rPr>
        <w:t>是指</w:t>
      </w:r>
      <w:r>
        <w:rPr>
          <w:rFonts w:ascii="宋体" w:hAnsi="宋体" w:hint="eastAsia"/>
          <w:color w:val="000000" w:themeColor="text1"/>
          <w:sz w:val="24"/>
          <w14:textFill>
            <w14:solidFill>
              <w14:schemeClr w14:val="tx1"/>
            </w14:solidFill>
          </w14:textFill>
        </w:rPr>
        <w:t>利用深圳智慧采购平台投标文件制作专用软件（以下简称：投标文件制作软件）制作并加密的投标文件,适用于网上投标；（投标文件制作软件可从“下载地址：http://zfcg.szggzy.com/TPBidder/DownLoad/深圳市智慧采购平台投标文件制作专用软件.zip”下载）。</w:t>
      </w:r>
    </w:p>
    <w:p>
      <w:pPr>
        <w:numPr>
          <w:ilvl w:val="1"/>
          <w:numId w:val="34"/>
        </w:numPr>
        <w:autoSpaceDE w:val="0"/>
        <w:autoSpaceDN w:val="0"/>
        <w:adjustRightInd w:val="0"/>
        <w:snapToGrid w:val="0"/>
        <w:spacing w:line="360" w:lineRule="auto"/>
        <w:textAlignment w:val="baseline"/>
        <w:rPr>
          <w:rFonts w:ascii="宋体" w:hAnsi="宋体"/>
          <w:color w:val="000000" w:themeColor="text1"/>
          <w:sz w:val="24"/>
          <w14:textFill>
            <w14:solidFill>
              <w14:schemeClr w14:val="tx1"/>
            </w14:solidFill>
          </w14:textFill>
        </w:rPr>
      </w:pPr>
      <w:r>
        <w:rPr>
          <w:rFonts w:ascii="宋体" w:hAnsi="宋体" w:hint="eastAsia"/>
          <w:color w:val="000000" w:themeColor="text1"/>
          <w:sz w:val="24"/>
          <w14:textFill>
            <w14:solidFill>
              <w14:schemeClr w14:val="tx1"/>
            </w14:solidFill>
          </w14:textFill>
        </w:rPr>
        <w:t>网上投标</w:t>
      </w:r>
      <w:r>
        <w:rPr>
          <w:rFonts w:ascii="宋体" w:hAnsi="宋体"/>
          <w:color w:val="000000" w:themeColor="text1"/>
          <w:sz w:val="24"/>
          <w14:textFill>
            <w14:solidFill>
              <w14:schemeClr w14:val="tx1"/>
            </w14:solidFill>
          </w14:textFill>
        </w:rPr>
        <w:t>是指</w:t>
      </w:r>
      <w:r>
        <w:rPr>
          <w:rFonts w:ascii="宋体" w:hAnsi="宋体" w:hint="eastAsia"/>
          <w:color w:val="000000" w:themeColor="text1"/>
          <w:sz w:val="24"/>
          <w14:textFill>
            <w14:solidFill>
              <w14:schemeClr w14:val="tx1"/>
            </w14:solidFill>
          </w14:textFill>
        </w:rPr>
        <w:t>通过</w:t>
      </w:r>
      <w:r>
        <w:rPr>
          <w:rFonts w:asciiTheme="minorEastAsia" w:eastAsiaTheme="minorEastAsia" w:hAnsiTheme="minorEastAsia" w:hint="eastAsia"/>
          <w:sz w:val="24"/>
        </w:rPr>
        <w:t>深圳政府采购智慧平台</w:t>
      </w:r>
      <w:r>
        <w:rPr>
          <w:rFonts w:ascii="宋体" w:hAnsi="宋体" w:hint="eastAsia"/>
          <w:color w:val="000000" w:themeColor="text1"/>
          <w:sz w:val="24"/>
          <w14:textFill>
            <w14:solidFill>
              <w14:schemeClr w14:val="tx1"/>
            </w14:solidFill>
          </w14:textFill>
        </w:rPr>
        <w:t>上传电子投标文件。</w:t>
      </w:r>
    </w:p>
    <w:p>
      <w:pPr>
        <w:numPr>
          <w:ilvl w:val="0"/>
          <w:numId w:val="34"/>
        </w:numPr>
        <w:autoSpaceDE w:val="0"/>
        <w:autoSpaceDN w:val="0"/>
        <w:adjustRightInd w:val="0"/>
        <w:snapToGrid w:val="0"/>
        <w:spacing w:line="360" w:lineRule="auto"/>
        <w:ind w:left="487" w:hanging="424" w:hangingChars="202"/>
        <w:outlineLvl w:val="3"/>
        <w:rPr>
          <w:rFonts w:ascii="宋体" w:hAnsi="宋体"/>
          <w:b/>
          <w:bCs/>
          <w:sz w:val="24"/>
        </w:rPr>
      </w:pPr>
      <w:r>
        <w:rPr>
          <w:rFonts w:ascii="宋体" w:hAnsi="宋体" w:hint="eastAsia"/>
          <w:b/>
          <w:bCs/>
          <w:sz w:val="24"/>
        </w:rPr>
        <w:t>合格的货物和服务</w:t>
      </w:r>
    </w:p>
    <w:p>
      <w:pPr>
        <w:numPr>
          <w:ilvl w:val="1"/>
          <w:numId w:val="34"/>
        </w:numPr>
        <w:autoSpaceDE w:val="0"/>
        <w:autoSpaceDN w:val="0"/>
        <w:adjustRightInd w:val="0"/>
        <w:snapToGrid w:val="0"/>
        <w:spacing w:line="360" w:lineRule="auto"/>
        <w:rPr>
          <w:rFonts w:ascii="宋体" w:hAnsi="宋体" w:cs="黑体"/>
          <w:b/>
          <w:bCs/>
          <w:sz w:val="24"/>
        </w:rPr>
      </w:pPr>
      <w:r>
        <w:rPr>
          <w:rFonts w:ascii="宋体" w:hAnsi="宋体" w:hint="eastAsia"/>
          <w:sz w:val="24"/>
        </w:rPr>
        <w:t>货物是指投标人制造或组织符合招标文件要求的货物等。投标的货物必须是其合法生产、合法来源的符合国家有关标准要求的货物，并满足招标文件规定的规格、参数、质量、价格、有效期、售后服务等实质性要求，其中包括但不仅仅限于投标人须承担的与供货有关的辅助服务，如运输、保险、安装、调试、提供技术援助、培训和招标文件规定的投标人应承担的其它义务。</w:t>
      </w:r>
    </w:p>
    <w:p>
      <w:pPr>
        <w:numPr>
          <w:ilvl w:val="1"/>
          <w:numId w:val="34"/>
        </w:numPr>
        <w:autoSpaceDE w:val="0"/>
        <w:autoSpaceDN w:val="0"/>
        <w:adjustRightInd w:val="0"/>
        <w:snapToGrid w:val="0"/>
        <w:spacing w:line="360" w:lineRule="auto"/>
        <w:rPr>
          <w:rFonts w:ascii="宋体" w:hAnsi="宋体"/>
          <w:sz w:val="24"/>
        </w:rPr>
      </w:pPr>
      <w:r>
        <w:rPr>
          <w:rFonts w:ascii="宋体" w:hAnsi="宋体" w:hint="eastAsia"/>
          <w:sz w:val="24"/>
        </w:rPr>
        <w:t>服务是指除货物和工程以外的其他政府采购对象，且满足实质性采购需求。</w:t>
      </w:r>
    </w:p>
    <w:p>
      <w:pPr>
        <w:numPr>
          <w:ilvl w:val="1"/>
          <w:numId w:val="34"/>
        </w:numPr>
        <w:autoSpaceDE w:val="0"/>
        <w:autoSpaceDN w:val="0"/>
        <w:adjustRightInd w:val="0"/>
        <w:snapToGrid w:val="0"/>
        <w:spacing w:line="360" w:lineRule="auto"/>
        <w:rPr>
          <w:rFonts w:ascii="宋体" w:hAnsi="宋体"/>
          <w:sz w:val="24"/>
        </w:rPr>
      </w:pPr>
      <w:bookmarkStart w:id="94" w:name="_Hlk30666811"/>
      <w:r>
        <w:rPr>
          <w:rFonts w:ascii="宋体" w:hAnsi="宋体" w:hint="eastAsia"/>
          <w:sz w:val="24"/>
        </w:rPr>
        <w:t>关于进口产品：根据财政部《政府采购进口产品管理办法》（财库〔2007〕119 号）“第三条本办法所称进口产品是指通过中国海关报关验放进入中国境内且产自关境外的产品。” 及《关于政府采购进口产品管理有关问题的通知》（财办库[2008]248号）“二、关于关境和海关特殊监管区域产品认定 根据《中华人民共和国海关法》(以下简称海关法)的规定，我国现行关境是指适用海关法的中华人民共和国行政管辖区域，不包括香港、澳门和台湾金马等单独关境地区。保税区、出口加工区、保税港区、珠澳跨境工业区珠海园区、中哈霍尔果斯国际边境合作中心中方配套区、综合保税区等区域，为海关特殊监管区域，这些区域仅在关税待遇及贸易管制方面实施不同于我国关境内其他地区的特殊政策，但仍属于中华人民共和国关境内区域，由海关按照海关法实施监管。因此，凡在海关特殊监管区域内企业生产或加工(包括从境外进口料件)销往境内其他地区的产品，不作为政府采购项下进口产品。对从境外进入海关特殊监管区域，再经办理报关手续后从海关特殊监管区进入境内其他地区的产品，应当认定为进口产品”。</w:t>
      </w:r>
    </w:p>
    <w:p>
      <w:pPr>
        <w:numPr>
          <w:ilvl w:val="0"/>
          <w:numId w:val="34"/>
        </w:numPr>
        <w:autoSpaceDE w:val="0"/>
        <w:autoSpaceDN w:val="0"/>
        <w:adjustRightInd w:val="0"/>
        <w:snapToGrid w:val="0"/>
        <w:spacing w:line="360" w:lineRule="auto"/>
        <w:ind w:left="487" w:hanging="424" w:hangingChars="202"/>
        <w:outlineLvl w:val="3"/>
        <w:rPr>
          <w:rFonts w:ascii="宋体" w:hAnsi="宋体"/>
          <w:b/>
          <w:bCs/>
          <w:sz w:val="24"/>
        </w:rPr>
      </w:pPr>
      <w:bookmarkEnd w:id="94"/>
      <w:r>
        <w:rPr>
          <w:rFonts w:ascii="宋体" w:hAnsi="宋体" w:hint="eastAsia"/>
          <w:b/>
          <w:bCs/>
          <w:sz w:val="24"/>
        </w:rPr>
        <w:t>投标费用</w:t>
      </w:r>
    </w:p>
    <w:p>
      <w:pPr>
        <w:numPr>
          <w:ilvl w:val="1"/>
          <w:numId w:val="34"/>
        </w:numPr>
        <w:autoSpaceDE w:val="0"/>
        <w:autoSpaceDN w:val="0"/>
        <w:adjustRightInd w:val="0"/>
        <w:snapToGrid w:val="0"/>
        <w:spacing w:line="360" w:lineRule="auto"/>
        <w:rPr>
          <w:rFonts w:ascii="宋体" w:hAnsi="宋体" w:cs="黑体"/>
          <w:b/>
          <w:bCs/>
          <w:sz w:val="24"/>
        </w:rPr>
      </w:pPr>
      <w:r>
        <w:rPr>
          <w:rFonts w:ascii="宋体" w:hAnsi="宋体" w:cs="宋体" w:hint="eastAsia"/>
          <w:sz w:val="24"/>
          <w:lang w:eastAsia="zh-TW"/>
        </w:rPr>
        <w:t>投标人应承担所有与准备和参加投标有关的费用。不论投标的结果如何</w:t>
      </w:r>
      <w:r>
        <w:rPr>
          <w:rFonts w:ascii="宋体" w:hAnsi="宋体" w:cs="宋体" w:hint="eastAsia"/>
          <w:sz w:val="24"/>
        </w:rPr>
        <w:t>，本招标文件中所述的</w:t>
      </w:r>
      <w:r>
        <w:rPr>
          <w:rFonts w:ascii="宋体" w:hAnsi="宋体" w:cs="宋体" w:hint="eastAsia"/>
          <w:sz w:val="24"/>
          <w:lang w:eastAsia="zh-TW"/>
        </w:rPr>
        <w:t>采购人或者采购代理机构均无义务和责任承担这些费用</w:t>
      </w:r>
      <w:r>
        <w:rPr>
          <w:rFonts w:ascii="宋体" w:hAnsi="宋体" w:cs="宋体" w:hint="eastAsia"/>
          <w:sz w:val="24"/>
        </w:rPr>
        <w:t>。</w:t>
      </w:r>
    </w:p>
    <w:p>
      <w:pPr>
        <w:numPr>
          <w:ilvl w:val="0"/>
          <w:numId w:val="34"/>
        </w:numPr>
        <w:autoSpaceDE w:val="0"/>
        <w:autoSpaceDN w:val="0"/>
        <w:adjustRightInd w:val="0"/>
        <w:snapToGrid w:val="0"/>
        <w:spacing w:line="360" w:lineRule="auto"/>
        <w:ind w:left="487" w:hanging="424" w:hangingChars="202"/>
        <w:outlineLvl w:val="3"/>
        <w:rPr>
          <w:rFonts w:ascii="宋体" w:hAnsi="宋体"/>
          <w:b/>
          <w:bCs/>
          <w:sz w:val="24"/>
        </w:rPr>
      </w:pPr>
      <w:r>
        <w:rPr>
          <w:rFonts w:ascii="宋体" w:hAnsi="宋体" w:hint="eastAsia"/>
          <w:b/>
          <w:bCs/>
          <w:sz w:val="24"/>
        </w:rPr>
        <w:t>其他</w:t>
      </w:r>
    </w:p>
    <w:p>
      <w:pPr>
        <w:numPr>
          <w:ilvl w:val="1"/>
          <w:numId w:val="34"/>
        </w:numPr>
        <w:autoSpaceDE w:val="0"/>
        <w:autoSpaceDN w:val="0"/>
        <w:adjustRightInd w:val="0"/>
        <w:snapToGrid w:val="0"/>
        <w:spacing w:line="360" w:lineRule="auto"/>
        <w:rPr>
          <w:rFonts w:ascii="宋体" w:hAnsi="宋体" w:cs="宋体"/>
          <w:sz w:val="24"/>
          <w:lang w:eastAsia="zh-TW"/>
        </w:rPr>
      </w:pPr>
      <w:r>
        <w:rPr>
          <w:rFonts w:ascii="宋体" w:hAnsi="宋体" w:cs="宋体" w:hint="eastAsia"/>
          <w:sz w:val="24"/>
          <w:lang w:eastAsia="zh-TW"/>
        </w:rPr>
        <w:t>所有时间均为24小时制北京时间，所有货币单位均为人民币元，所使用的计量单位均以《中华人民共和国法定计量单位》为准（特别注明除外）</w:t>
      </w:r>
      <w:r>
        <w:rPr>
          <w:rFonts w:ascii="宋体" w:hAnsi="宋体" w:cs="宋体" w:hint="eastAsia"/>
          <w:sz w:val="24"/>
        </w:rPr>
        <w:t>。</w:t>
      </w:r>
    </w:p>
    <w:p>
      <w:pPr>
        <w:numPr>
          <w:ilvl w:val="1"/>
          <w:numId w:val="34"/>
        </w:numPr>
        <w:autoSpaceDE w:val="0"/>
        <w:autoSpaceDN w:val="0"/>
        <w:adjustRightInd w:val="0"/>
        <w:snapToGrid w:val="0"/>
        <w:spacing w:line="360" w:lineRule="auto"/>
        <w:rPr>
          <w:rFonts w:ascii="宋体" w:hAnsi="宋体" w:cs="宋体"/>
          <w:sz w:val="24"/>
          <w:lang w:eastAsia="zh-TW"/>
        </w:rPr>
      </w:pPr>
      <w:r>
        <w:rPr>
          <w:rFonts w:ascii="宋体" w:hAnsi="宋体" w:cs="宋体" w:hint="eastAsia"/>
          <w:sz w:val="24"/>
          <w:lang w:eastAsia="zh-TW"/>
        </w:rPr>
        <w:t>供应商（投标人）向</w:t>
      </w:r>
      <w:r>
        <w:rPr>
          <w:rFonts w:ascii="宋体" w:hAnsi="宋体" w:cs="宋体" w:hint="eastAsia"/>
          <w:sz w:val="24"/>
        </w:rPr>
        <w:t>本招标文件中所述的</w:t>
      </w:r>
      <w:r>
        <w:rPr>
          <w:rFonts w:ascii="宋体" w:hAnsi="宋体" w:cs="宋体" w:hint="eastAsia"/>
          <w:sz w:val="24"/>
          <w:lang w:eastAsia="zh-TW"/>
        </w:rPr>
        <w:t>采购代理机构咨询的有关</w:t>
      </w:r>
      <w:r>
        <w:rPr>
          <w:rFonts w:ascii="宋体" w:hAnsi="宋体" w:cs="宋体" w:hint="eastAsia"/>
          <w:sz w:val="24"/>
        </w:rPr>
        <w:t>本招标</w:t>
      </w:r>
      <w:r>
        <w:rPr>
          <w:rFonts w:ascii="宋体" w:hAnsi="宋体" w:cs="宋体" w:hint="eastAsia"/>
          <w:sz w:val="24"/>
          <w:lang w:eastAsia="zh-TW"/>
        </w:rPr>
        <w:t>项目事项，一切以法律法规的规定和本公司书面</w:t>
      </w:r>
      <w:r>
        <w:rPr>
          <w:rFonts w:ascii="宋体" w:hAnsi="宋体" w:cs="宋体" w:hint="eastAsia"/>
          <w:sz w:val="24"/>
        </w:rPr>
        <w:t>答复</w:t>
      </w:r>
      <w:r>
        <w:rPr>
          <w:rFonts w:ascii="宋体" w:hAnsi="宋体" w:cs="宋体" w:hint="eastAsia"/>
          <w:sz w:val="24"/>
          <w:lang w:eastAsia="zh-TW"/>
        </w:rPr>
        <w:t>为准，其他一切形式均为个人意见，不代表本公司的意见。</w:t>
      </w:r>
    </w:p>
    <w:p>
      <w:pPr>
        <w:numPr>
          <w:ilvl w:val="1"/>
          <w:numId w:val="34"/>
        </w:numPr>
        <w:adjustRightInd w:val="0"/>
        <w:snapToGrid w:val="0"/>
        <w:spacing w:line="360" w:lineRule="auto"/>
        <w:rPr>
          <w:rFonts w:asciiTheme="minorEastAsia" w:eastAsiaTheme="minorEastAsia" w:hAnsiTheme="minorEastAsia" w:cs="宋体"/>
          <w:bCs/>
          <w:color w:val="FF0000"/>
          <w:sz w:val="24"/>
        </w:rPr>
      </w:pPr>
      <w:bookmarkStart w:id="95" w:name="_Hlk21592778"/>
      <w:r>
        <w:rPr>
          <w:rFonts w:asciiTheme="minorEastAsia" w:eastAsiaTheme="minorEastAsia" w:hAnsiTheme="minorEastAsia" w:hint="eastAsia"/>
          <w:sz w:val="24"/>
        </w:rPr>
        <w:t>对列入失信</w:t>
      </w:r>
      <w:r>
        <w:rPr>
          <w:rFonts w:asciiTheme="minorEastAsia" w:eastAsiaTheme="minorEastAsia" w:hAnsiTheme="minorEastAsia"/>
          <w:sz w:val="24"/>
        </w:rPr>
        <w:t>“</w:t>
      </w:r>
      <w:r>
        <w:rPr>
          <w:rFonts w:asciiTheme="minorEastAsia" w:eastAsiaTheme="minorEastAsia" w:hAnsiTheme="minorEastAsia" w:hint="eastAsia"/>
          <w:sz w:val="24"/>
        </w:rPr>
        <w:t>黑名单</w:t>
      </w:r>
      <w:r>
        <w:rPr>
          <w:rFonts w:asciiTheme="minorEastAsia" w:eastAsiaTheme="minorEastAsia" w:hAnsiTheme="minorEastAsia"/>
          <w:sz w:val="24"/>
        </w:rPr>
        <w:t>”</w:t>
      </w:r>
      <w:r>
        <w:rPr>
          <w:rFonts w:asciiTheme="minorEastAsia" w:eastAsiaTheme="minorEastAsia" w:hAnsiTheme="minorEastAsia" w:hint="eastAsia"/>
          <w:sz w:val="24"/>
        </w:rPr>
        <w:t>的</w:t>
      </w:r>
      <w:bookmarkStart w:id="96" w:name="_Hlk21591509"/>
      <w:r>
        <w:rPr>
          <w:rFonts w:asciiTheme="minorEastAsia" w:eastAsiaTheme="minorEastAsia" w:hAnsiTheme="minorEastAsia" w:hint="eastAsia"/>
          <w:sz w:val="24"/>
        </w:rPr>
        <w:t>供应商限制参与政府采购</w:t>
      </w:r>
      <w:bookmarkEnd w:id="96"/>
      <w:r>
        <w:rPr>
          <w:rFonts w:asciiTheme="minorEastAsia" w:eastAsiaTheme="minorEastAsia" w:hAnsiTheme="minorEastAsia" w:hint="eastAsia"/>
          <w:sz w:val="24"/>
        </w:rPr>
        <w:t>。</w:t>
      </w:r>
      <w:r>
        <w:rPr>
          <w:rFonts w:asciiTheme="minorEastAsia" w:eastAsiaTheme="minorEastAsia" w:hAnsiTheme="minorEastAsia" w:cs="宋体" w:hint="eastAsia"/>
          <w:bCs/>
          <w:sz w:val="24"/>
        </w:rPr>
        <w:t>供应商诚信查询方式：</w:t>
      </w:r>
      <w:r>
        <w:rPr>
          <w:rFonts w:asciiTheme="minorEastAsia" w:eastAsiaTheme="minorEastAsia" w:hAnsiTheme="minorEastAsia"/>
          <w:sz w:val="24"/>
        </w:rPr>
        <w:t>“信用中国”网站(</w:t>
      </w:r>
      <w:r>
        <w:fldChar w:fldCharType="begin"/>
      </w:r>
      <w:r>
        <w:instrText xml:space="preserve"> HYPERLINK "http://www.creditchina.gov.cn" </w:instrText>
      </w:r>
      <w:r>
        <w:fldChar w:fldCharType="separate"/>
      </w:r>
      <w:r>
        <w:rPr>
          <w:rStyle w:val="Hyperlink"/>
          <w:rFonts w:asciiTheme="minorEastAsia" w:eastAsiaTheme="minorEastAsia" w:hAnsiTheme="minorEastAsia"/>
          <w:color w:val="auto"/>
          <w:sz w:val="24"/>
        </w:rPr>
        <w:t>www.creditchina.gov.cn</w:t>
      </w:r>
      <w:r>
        <w:rPr>
          <w:rStyle w:val="Hyperlink"/>
          <w:rFonts w:asciiTheme="minorEastAsia" w:eastAsiaTheme="minorEastAsia" w:hAnsiTheme="minorEastAsia"/>
          <w:color w:val="auto"/>
          <w:sz w:val="24"/>
        </w:rPr>
        <w:fldChar w:fldCharType="end"/>
      </w:r>
      <w:r>
        <w:rPr>
          <w:rFonts w:asciiTheme="minorEastAsia" w:eastAsiaTheme="minorEastAsia" w:hAnsiTheme="minorEastAsia"/>
          <w:sz w:val="24"/>
        </w:rPr>
        <w:t>)</w:t>
      </w:r>
      <w:r>
        <w:rPr>
          <w:rFonts w:asciiTheme="minorEastAsia" w:eastAsiaTheme="minorEastAsia" w:hAnsiTheme="minorEastAsia" w:hint="eastAsia"/>
          <w:sz w:val="24"/>
        </w:rPr>
        <w:t>没有以下任意记录名单之一：①</w:t>
      </w:r>
      <w:r>
        <w:rPr>
          <w:rFonts w:asciiTheme="minorEastAsia" w:eastAsiaTheme="minorEastAsia" w:hAnsiTheme="minorEastAsia"/>
          <w:sz w:val="24"/>
        </w:rPr>
        <w:t>记录失信被执行人</w:t>
      </w:r>
      <w:r>
        <w:rPr>
          <w:rFonts w:asciiTheme="minorEastAsia" w:eastAsiaTheme="minorEastAsia" w:hAnsiTheme="minorEastAsia" w:hint="eastAsia"/>
          <w:sz w:val="24"/>
        </w:rPr>
        <w:t>；②</w:t>
      </w:r>
      <w:r>
        <w:rPr>
          <w:rFonts w:asciiTheme="minorEastAsia" w:eastAsiaTheme="minorEastAsia" w:hAnsiTheme="minorEastAsia"/>
          <w:sz w:val="24"/>
        </w:rPr>
        <w:t>重大税收违法案件当事人名单（税收违法黑名单）</w:t>
      </w:r>
      <w:r>
        <w:rPr>
          <w:rFonts w:asciiTheme="minorEastAsia" w:eastAsiaTheme="minorEastAsia" w:hAnsiTheme="minorEastAsia" w:hint="eastAsia"/>
          <w:sz w:val="24"/>
        </w:rPr>
        <w:t>；③政府采购严重违法失信行为。</w:t>
      </w:r>
      <w:r>
        <w:rPr>
          <w:rFonts w:asciiTheme="minorEastAsia" w:eastAsiaTheme="minorEastAsia" w:hAnsiTheme="minorEastAsia"/>
          <w:sz w:val="24"/>
        </w:rPr>
        <w:t>中国政府采购网(www.ccgp.gov.cn)不处于“政府采购严重违法失信行为信息记录”中的禁止参加政府采购活动期间</w:t>
      </w:r>
      <w:r>
        <w:rPr>
          <w:rFonts w:asciiTheme="minorEastAsia" w:eastAsiaTheme="minorEastAsia" w:hAnsiTheme="minorEastAsia" w:hint="eastAsia"/>
          <w:sz w:val="24"/>
        </w:rPr>
        <w:t>；</w:t>
      </w:r>
      <w:bookmarkStart w:id="97" w:name="_Hlk42003423"/>
      <w:r>
        <w:rPr>
          <w:rFonts w:asciiTheme="minorEastAsia" w:eastAsiaTheme="minorEastAsia" w:hAnsiTheme="minorEastAsia" w:hint="eastAsia"/>
          <w:sz w:val="24"/>
        </w:rPr>
        <w:t>在深圳信用网（</w:t>
      </w:r>
      <w:r>
        <w:rPr>
          <w:rFonts w:asciiTheme="minorEastAsia" w:eastAsiaTheme="minorEastAsia" w:hAnsiTheme="minorEastAsia"/>
          <w:sz w:val="24"/>
        </w:rPr>
        <w:t>https://www.szcredit.com.cn</w:t>
      </w:r>
      <w:r>
        <w:rPr>
          <w:rFonts w:asciiTheme="minorEastAsia" w:eastAsiaTheme="minorEastAsia" w:hAnsiTheme="minorEastAsia" w:hint="eastAsia"/>
          <w:sz w:val="24"/>
        </w:rPr>
        <w:t>）、</w:t>
      </w:r>
      <w:r>
        <w:rPr>
          <w:rFonts w:asciiTheme="minorEastAsia" w:eastAsiaTheme="minorEastAsia" w:hAnsiTheme="minorEastAsia" w:cs="宋体" w:hint="eastAsia"/>
          <w:bCs/>
          <w:sz w:val="24"/>
        </w:rPr>
        <w:t>深圳市政府采购监督管理网（zfcg.sz.gov.cn）查询相关主体信用记录，对不符合《中华人民共和国政府采购法》第二十二条规定条件的供应商限制参与政府采购。</w:t>
      </w:r>
      <w:r>
        <w:rPr>
          <w:rFonts w:asciiTheme="minorEastAsia" w:eastAsiaTheme="minorEastAsia" w:hAnsiTheme="minorEastAsia" w:cs="宋体" w:hint="eastAsia"/>
          <w:sz w:val="24"/>
        </w:rPr>
        <w:t>联合体投标的，对</w:t>
      </w:r>
      <w:r>
        <w:rPr>
          <w:rFonts w:asciiTheme="minorEastAsia" w:eastAsiaTheme="minorEastAsia" w:hAnsiTheme="minorEastAsia" w:cs="宋体"/>
          <w:sz w:val="24"/>
        </w:rPr>
        <w:t>所有联合体成员进行信用记录查询，联合体成员存在不良信用记录的，视同联合体存在不良信用记录。</w:t>
      </w:r>
      <w:r>
        <w:rPr>
          <w:rFonts w:asciiTheme="minorEastAsia" w:eastAsiaTheme="minorEastAsia" w:hAnsiTheme="minorEastAsia" w:cs="宋体"/>
          <w:bCs/>
          <w:sz w:val="24"/>
        </w:rPr>
        <w:t>如在上述网站查询结果均显示没有相关记录，视为</w:t>
      </w:r>
      <w:r>
        <w:rPr>
          <w:rFonts w:asciiTheme="minorEastAsia" w:eastAsiaTheme="minorEastAsia" w:hAnsiTheme="minorEastAsia" w:cs="宋体" w:hint="eastAsia"/>
          <w:bCs/>
          <w:sz w:val="24"/>
        </w:rPr>
        <w:t>不存在</w:t>
      </w:r>
      <w:r>
        <w:rPr>
          <w:rFonts w:asciiTheme="minorEastAsia" w:eastAsiaTheme="minorEastAsia" w:hAnsiTheme="minorEastAsia" w:cs="宋体"/>
          <w:bCs/>
          <w:sz w:val="24"/>
        </w:rPr>
        <w:t>上述不良信用记录</w:t>
      </w:r>
      <w:r>
        <w:rPr>
          <w:rFonts w:asciiTheme="minorEastAsia" w:eastAsiaTheme="minorEastAsia" w:hAnsiTheme="minorEastAsia" w:cs="宋体" w:hint="eastAsia"/>
          <w:bCs/>
          <w:sz w:val="24"/>
        </w:rPr>
        <w:t>。由采购代理机构对信用信息查询记录和证据截图或下载存档，</w:t>
      </w:r>
      <w:r>
        <w:rPr>
          <w:rFonts w:asciiTheme="minorEastAsia" w:eastAsiaTheme="minorEastAsia" w:hAnsiTheme="minorEastAsia" w:hint="eastAsia"/>
          <w:sz w:val="24"/>
        </w:rPr>
        <w:t>相关信息以开标当日的查询结果为准。信用信息查询记录应当作为项目档案材料一并保存。</w:t>
      </w:r>
      <w:bookmarkEnd w:id="97"/>
    </w:p>
    <w:p>
      <w:pPr>
        <w:numPr>
          <w:ilvl w:val="1"/>
          <w:numId w:val="34"/>
        </w:numPr>
        <w:autoSpaceDE w:val="0"/>
        <w:autoSpaceDN w:val="0"/>
        <w:adjustRightInd w:val="0"/>
        <w:snapToGrid w:val="0"/>
        <w:spacing w:line="360" w:lineRule="auto"/>
        <w:textAlignment w:val="baseline"/>
        <w:rPr>
          <w:rFonts w:ascii="宋体" w:hAnsi="宋体" w:cs="宋体"/>
          <w:sz w:val="24"/>
          <w:lang w:eastAsia="zh-TW"/>
        </w:rPr>
      </w:pPr>
      <w:bookmarkEnd w:id="95"/>
      <w:r>
        <w:rPr>
          <w:rFonts w:ascii="宋体" w:hAnsi="宋体" w:cs="宋体" w:hint="eastAsia"/>
          <w:sz w:val="24"/>
          <w:lang w:eastAsia="zh-TW"/>
        </w:rPr>
        <w:t>“提交投标文件截止时间”和“开标时间”包含最后一分钟。例如，提交投标文件截止时间为9:30表示截止时间为9点30分59秒。</w:t>
      </w:r>
    </w:p>
    <w:p>
      <w:pPr>
        <w:numPr>
          <w:ilvl w:val="0"/>
          <w:numId w:val="33"/>
        </w:numPr>
        <w:autoSpaceDE w:val="0"/>
        <w:autoSpaceDN w:val="0"/>
        <w:adjustRightInd w:val="0"/>
        <w:snapToGrid w:val="0"/>
        <w:spacing w:line="360" w:lineRule="auto"/>
        <w:ind w:left="708" w:hanging="529" w:hangingChars="252"/>
        <w:jc w:val="center"/>
        <w:outlineLvl w:val="2"/>
        <w:rPr>
          <w:rFonts w:ascii="宋体" w:hAnsi="宋体"/>
          <w:b/>
          <w:sz w:val="28"/>
          <w:szCs w:val="28"/>
          <w:lang w:eastAsia="zh-TW"/>
        </w:rPr>
      </w:pPr>
      <w:bookmarkStart w:id="98" w:name="_Toc438223137"/>
      <w:bookmarkStart w:id="99" w:name="_Toc10080"/>
      <w:bookmarkStart w:id="100" w:name="_Toc435516651"/>
      <w:bookmarkStart w:id="101" w:name="_Toc435174934"/>
      <w:bookmarkStart w:id="102" w:name="_Toc256000015"/>
      <w:r>
        <w:rPr>
          <w:rFonts w:ascii="宋体" w:hAnsi="宋体" w:hint="eastAsia"/>
          <w:b/>
          <w:sz w:val="28"/>
          <w:szCs w:val="28"/>
          <w:lang w:eastAsia="zh-TW"/>
        </w:rPr>
        <w:t>招标文件</w:t>
      </w:r>
      <w:bookmarkEnd w:id="102"/>
      <w:bookmarkEnd w:id="98"/>
      <w:bookmarkEnd w:id="99"/>
      <w:bookmarkEnd w:id="100"/>
      <w:bookmarkEnd w:id="101"/>
    </w:p>
    <w:p>
      <w:pPr>
        <w:numPr>
          <w:ilvl w:val="0"/>
          <w:numId w:val="35"/>
        </w:numPr>
        <w:autoSpaceDE w:val="0"/>
        <w:autoSpaceDN w:val="0"/>
        <w:adjustRightInd w:val="0"/>
        <w:snapToGrid w:val="0"/>
        <w:spacing w:line="360" w:lineRule="auto"/>
        <w:outlineLvl w:val="3"/>
        <w:rPr>
          <w:rFonts w:ascii="宋体" w:hAnsi="宋体"/>
          <w:b/>
          <w:bCs/>
          <w:sz w:val="24"/>
        </w:rPr>
      </w:pPr>
      <w:r>
        <w:rPr>
          <w:rFonts w:ascii="宋体" w:hAnsi="宋体" w:hint="eastAsia"/>
          <w:b/>
          <w:bCs/>
          <w:sz w:val="24"/>
        </w:rPr>
        <w:t>招标文件的编制依据与构成</w:t>
      </w:r>
    </w:p>
    <w:p>
      <w:pPr>
        <w:numPr>
          <w:ilvl w:val="1"/>
          <w:numId w:val="35"/>
        </w:numPr>
        <w:autoSpaceDE w:val="0"/>
        <w:autoSpaceDN w:val="0"/>
        <w:adjustRightInd w:val="0"/>
        <w:snapToGrid w:val="0"/>
        <w:spacing w:line="360" w:lineRule="auto"/>
        <w:rPr>
          <w:rFonts w:ascii="宋体" w:hAnsi="宋体"/>
          <w:sz w:val="24"/>
        </w:rPr>
      </w:pPr>
      <w:r>
        <w:rPr>
          <w:rFonts w:ascii="宋体" w:hAnsi="宋体" w:hint="eastAsia"/>
          <w:sz w:val="24"/>
        </w:rPr>
        <w:t>本招标文件的编制依据是《深圳经济特区政府采购条例》、《深圳经济特区政府采购条例及实施细则》、《中华人民共和国政府采购法》、</w:t>
      </w:r>
      <w:r>
        <w:rPr>
          <w:rFonts w:hint="eastAsia"/>
        </w:rPr>
        <w:t>《</w:t>
      </w:r>
      <w:r>
        <w:rPr>
          <w:rFonts w:ascii="宋体" w:hAnsi="宋体" w:hint="eastAsia"/>
          <w:sz w:val="24"/>
        </w:rPr>
        <w:t>中华人民共和国政府采购法实施条例</w:t>
      </w:r>
      <w:r>
        <w:rPr>
          <w:rFonts w:hint="eastAsia"/>
        </w:rPr>
        <w:t>》</w:t>
      </w:r>
      <w:r>
        <w:rPr>
          <w:rFonts w:ascii="宋体" w:hAnsi="宋体" w:hint="eastAsia"/>
          <w:sz w:val="24"/>
        </w:rPr>
        <w:t>、《政府采购货物和服务招标投标管理办法》及其配套的法规、规章、政策等。</w:t>
      </w:r>
    </w:p>
    <w:p>
      <w:pPr>
        <w:numPr>
          <w:ilvl w:val="1"/>
          <w:numId w:val="35"/>
        </w:numPr>
        <w:autoSpaceDE w:val="0"/>
        <w:autoSpaceDN w:val="0"/>
        <w:adjustRightInd w:val="0"/>
        <w:snapToGrid w:val="0"/>
        <w:spacing w:line="360" w:lineRule="auto"/>
        <w:rPr>
          <w:rFonts w:ascii="宋体" w:hAnsi="宋体"/>
          <w:sz w:val="24"/>
        </w:rPr>
      </w:pPr>
      <w:r>
        <w:rPr>
          <w:rFonts w:ascii="宋体" w:hAnsi="宋体" w:cs="宋体" w:hint="eastAsia"/>
          <w:sz w:val="24"/>
          <w:lang w:eastAsia="zh-TW"/>
        </w:rPr>
        <w:t>招标文件以中文文字编写。招标文件共</w:t>
      </w:r>
      <w:r>
        <w:rPr>
          <w:rFonts w:ascii="宋体" w:hAnsi="宋体" w:cs="宋体" w:hint="eastAsia"/>
          <w:sz w:val="24"/>
        </w:rPr>
        <w:t>六</w:t>
      </w:r>
      <w:r>
        <w:rPr>
          <w:rFonts w:ascii="宋体" w:hAnsi="宋体" w:cs="宋体" w:hint="eastAsia"/>
          <w:sz w:val="24"/>
          <w:lang w:eastAsia="zh-TW"/>
        </w:rPr>
        <w:t>章。</w:t>
      </w:r>
      <w:r>
        <w:rPr>
          <w:rFonts w:ascii="宋体" w:hAnsi="宋体" w:cs="宋体" w:hint="eastAsia"/>
          <w:sz w:val="24"/>
        </w:rPr>
        <w:t>由下列文件以及在招标过程中发出的招标答疑和澄清或修改文件组成，</w:t>
      </w:r>
      <w:r>
        <w:rPr>
          <w:rFonts w:ascii="宋体" w:hAnsi="宋体" w:cs="宋体" w:hint="eastAsia"/>
          <w:sz w:val="24"/>
          <w:lang w:eastAsia="zh-TW"/>
        </w:rPr>
        <w:t>内容如下</w:t>
      </w:r>
      <w:r>
        <w:rPr>
          <w:rFonts w:ascii="宋体" w:hAnsi="宋体" w:cs="宋体" w:hint="eastAsia"/>
          <w:sz w:val="24"/>
        </w:rPr>
        <w:t>：</w:t>
      </w:r>
    </w:p>
    <w:p>
      <w:pPr>
        <w:snapToGrid w:val="0"/>
        <w:spacing w:line="360" w:lineRule="auto"/>
        <w:ind w:left="445" w:firstLine="1" w:leftChars="212"/>
        <w:rPr>
          <w:rFonts w:ascii="宋体" w:hAnsi="宋体"/>
          <w:b/>
          <w:sz w:val="24"/>
        </w:rPr>
      </w:pPr>
      <w:r>
        <w:rPr>
          <w:rFonts w:ascii="宋体" w:hAnsi="宋体" w:cs="宋体" w:hint="eastAsia"/>
          <w:b/>
          <w:sz w:val="24"/>
          <w:lang w:eastAsia="zh-TW"/>
        </w:rPr>
        <w:t>第一章</w:t>
      </w:r>
      <w:r>
        <w:rPr>
          <w:rFonts w:ascii="宋体" w:hAnsi="宋体" w:cs="宋体" w:hint="eastAsia"/>
          <w:b/>
          <w:sz w:val="24"/>
        </w:rPr>
        <w:t>　</w:t>
      </w:r>
      <w:r>
        <w:rPr>
          <w:rFonts w:ascii="宋体" w:hAnsi="宋体" w:cs="宋体" w:hint="eastAsia"/>
          <w:b/>
          <w:sz w:val="24"/>
          <w:lang w:eastAsia="zh-TW"/>
        </w:rPr>
        <w:t>投标邀请</w:t>
      </w:r>
    </w:p>
    <w:p>
      <w:pPr>
        <w:snapToGrid w:val="0"/>
        <w:spacing w:line="360" w:lineRule="auto"/>
        <w:ind w:left="445" w:firstLine="1" w:leftChars="212"/>
        <w:rPr>
          <w:rFonts w:ascii="宋体" w:hAnsi="宋体"/>
          <w:b/>
          <w:sz w:val="24"/>
        </w:rPr>
      </w:pPr>
      <w:r>
        <w:rPr>
          <w:rFonts w:ascii="宋体" w:hAnsi="宋体" w:cs="宋体" w:hint="eastAsia"/>
          <w:b/>
          <w:sz w:val="24"/>
          <w:lang w:eastAsia="zh-TW"/>
        </w:rPr>
        <w:t>第二章</w:t>
      </w:r>
      <w:r>
        <w:rPr>
          <w:rFonts w:ascii="宋体" w:hAnsi="宋体" w:cs="宋体" w:hint="eastAsia"/>
          <w:b/>
          <w:sz w:val="24"/>
        </w:rPr>
        <w:t>　用户需求书</w:t>
      </w:r>
    </w:p>
    <w:p>
      <w:pPr>
        <w:tabs>
          <w:tab w:val="left" w:pos="3915"/>
        </w:tabs>
        <w:snapToGrid w:val="0"/>
        <w:spacing w:line="360" w:lineRule="auto"/>
        <w:ind w:left="445" w:firstLine="1" w:leftChars="212"/>
        <w:rPr>
          <w:rFonts w:ascii="宋体" w:hAnsi="宋体" w:cs="宋体"/>
          <w:b/>
          <w:sz w:val="24"/>
        </w:rPr>
      </w:pPr>
      <w:r>
        <w:rPr>
          <w:rFonts w:ascii="宋体" w:hAnsi="宋体" w:cs="宋体" w:hint="eastAsia"/>
          <w:b/>
          <w:sz w:val="24"/>
        </w:rPr>
        <w:t>第三章　评标方法和标准</w:t>
      </w:r>
    </w:p>
    <w:p>
      <w:pPr>
        <w:snapToGrid w:val="0"/>
        <w:spacing w:line="360" w:lineRule="auto"/>
        <w:ind w:left="445" w:firstLine="1" w:leftChars="212"/>
        <w:rPr>
          <w:rFonts w:ascii="宋体" w:hAnsi="宋体"/>
          <w:b/>
          <w:sz w:val="24"/>
        </w:rPr>
      </w:pPr>
      <w:r>
        <w:rPr>
          <w:rFonts w:ascii="宋体" w:hAnsi="宋体" w:cs="宋体" w:hint="eastAsia"/>
          <w:b/>
          <w:sz w:val="24"/>
          <w:lang w:eastAsia="zh-TW"/>
        </w:rPr>
        <w:t>第</w:t>
      </w:r>
      <w:r>
        <w:rPr>
          <w:rFonts w:ascii="宋体" w:hAnsi="宋体" w:cs="宋体" w:hint="eastAsia"/>
          <w:b/>
          <w:sz w:val="24"/>
        </w:rPr>
        <w:t>四</w:t>
      </w:r>
      <w:r>
        <w:rPr>
          <w:rFonts w:ascii="宋体" w:hAnsi="宋体" w:cs="宋体" w:hint="eastAsia"/>
          <w:b/>
          <w:sz w:val="24"/>
          <w:lang w:eastAsia="zh-TW"/>
        </w:rPr>
        <w:t>章</w:t>
      </w:r>
      <w:r>
        <w:rPr>
          <w:rFonts w:ascii="宋体" w:hAnsi="宋体" w:cs="宋体" w:hint="eastAsia"/>
          <w:b/>
          <w:sz w:val="24"/>
        </w:rPr>
        <w:t>　</w:t>
      </w:r>
      <w:r>
        <w:rPr>
          <w:rFonts w:ascii="宋体" w:hAnsi="宋体" w:cs="宋体" w:hint="eastAsia"/>
          <w:b/>
          <w:sz w:val="24"/>
          <w:lang w:eastAsia="zh-TW"/>
        </w:rPr>
        <w:t>投标人须知</w:t>
      </w:r>
    </w:p>
    <w:p>
      <w:pPr>
        <w:snapToGrid w:val="0"/>
        <w:spacing w:line="360" w:lineRule="auto"/>
        <w:ind w:left="445" w:firstLine="1" w:leftChars="212"/>
        <w:rPr>
          <w:rFonts w:ascii="宋体" w:hAnsi="宋体"/>
          <w:b/>
          <w:sz w:val="24"/>
        </w:rPr>
      </w:pPr>
      <w:r>
        <w:rPr>
          <w:rFonts w:ascii="宋体" w:hAnsi="宋体" w:cs="宋体" w:hint="eastAsia"/>
          <w:b/>
          <w:sz w:val="24"/>
          <w:lang w:eastAsia="zh-TW"/>
        </w:rPr>
        <w:t>第</w:t>
      </w:r>
      <w:r>
        <w:rPr>
          <w:rFonts w:ascii="宋体" w:hAnsi="宋体" w:cs="宋体" w:hint="eastAsia"/>
          <w:b/>
          <w:sz w:val="24"/>
        </w:rPr>
        <w:t>五</w:t>
      </w:r>
      <w:r>
        <w:rPr>
          <w:rFonts w:ascii="宋体" w:hAnsi="宋体" w:cs="宋体" w:hint="eastAsia"/>
          <w:b/>
          <w:sz w:val="24"/>
          <w:lang w:eastAsia="zh-TW"/>
        </w:rPr>
        <w:t>章</w:t>
      </w:r>
      <w:r>
        <w:rPr>
          <w:rFonts w:ascii="宋体" w:hAnsi="宋体" w:cs="宋体" w:hint="eastAsia"/>
          <w:b/>
          <w:sz w:val="24"/>
        </w:rPr>
        <w:t>　</w:t>
      </w:r>
      <w:r>
        <w:rPr>
          <w:rFonts w:ascii="宋体" w:hAnsi="宋体" w:cs="宋体" w:hint="eastAsia"/>
          <w:b/>
          <w:sz w:val="24"/>
          <w:lang w:eastAsia="zh-TW"/>
        </w:rPr>
        <w:t>合同</w:t>
      </w:r>
      <w:r>
        <w:rPr>
          <w:rFonts w:ascii="宋体" w:hAnsi="宋体" w:cs="宋体" w:hint="eastAsia"/>
          <w:b/>
          <w:sz w:val="24"/>
        </w:rPr>
        <w:t>格式条款</w:t>
      </w:r>
    </w:p>
    <w:p>
      <w:pPr>
        <w:snapToGrid w:val="0"/>
        <w:spacing w:line="360" w:lineRule="auto"/>
        <w:ind w:left="445" w:firstLine="1" w:leftChars="212"/>
        <w:rPr>
          <w:rFonts w:ascii="宋体" w:hAnsi="宋体" w:cs="宋体"/>
          <w:b/>
          <w:sz w:val="24"/>
        </w:rPr>
      </w:pPr>
      <w:r>
        <w:rPr>
          <w:rFonts w:ascii="宋体" w:hAnsi="宋体" w:cs="宋体" w:hint="eastAsia"/>
          <w:b/>
          <w:sz w:val="24"/>
          <w:lang w:eastAsia="zh-TW"/>
        </w:rPr>
        <w:t>第</w:t>
      </w:r>
      <w:r>
        <w:rPr>
          <w:rFonts w:ascii="宋体" w:hAnsi="宋体" w:cs="宋体" w:hint="eastAsia"/>
          <w:b/>
          <w:sz w:val="24"/>
        </w:rPr>
        <w:t>六</w:t>
      </w:r>
      <w:r>
        <w:rPr>
          <w:rFonts w:ascii="宋体" w:hAnsi="宋体" w:cs="宋体" w:hint="eastAsia"/>
          <w:b/>
          <w:sz w:val="24"/>
          <w:lang w:eastAsia="zh-TW"/>
        </w:rPr>
        <w:t>章</w:t>
      </w:r>
      <w:r>
        <w:rPr>
          <w:rFonts w:ascii="宋体" w:hAnsi="宋体" w:cs="宋体" w:hint="eastAsia"/>
          <w:b/>
          <w:sz w:val="24"/>
        </w:rPr>
        <w:t>　投标文件格式</w:t>
      </w:r>
    </w:p>
    <w:p>
      <w:pPr>
        <w:numPr>
          <w:ilvl w:val="1"/>
          <w:numId w:val="35"/>
        </w:numPr>
        <w:autoSpaceDE w:val="0"/>
        <w:autoSpaceDN w:val="0"/>
        <w:adjustRightInd w:val="0"/>
        <w:snapToGrid w:val="0"/>
        <w:spacing w:line="360" w:lineRule="auto"/>
        <w:jc w:val="left"/>
        <w:rPr>
          <w:rFonts w:ascii="宋体" w:hAnsi="宋体" w:cs="宋体"/>
          <w:sz w:val="24"/>
          <w:lang w:eastAsia="zh-TW"/>
        </w:rPr>
      </w:pPr>
      <w:r>
        <w:rPr>
          <w:rFonts w:ascii="宋体" w:hAnsi="宋体" w:cs="宋体" w:hint="eastAsia"/>
          <w:sz w:val="24"/>
        </w:rPr>
        <w:t>本</w:t>
      </w:r>
      <w:r>
        <w:rPr>
          <w:rFonts w:ascii="宋体" w:hAnsi="宋体" w:cs="宋体" w:hint="eastAsia"/>
          <w:sz w:val="24"/>
          <w:lang w:eastAsia="zh-TW"/>
        </w:rPr>
        <w:t>招标文件的解释权归</w:t>
      </w:r>
      <w:r>
        <w:rPr>
          <w:rFonts w:ascii="宋体" w:hAnsi="宋体" w:cs="宋体" w:hint="eastAsia"/>
          <w:sz w:val="24"/>
        </w:rPr>
        <w:t>本招标文件中所述的</w:t>
      </w:r>
      <w:r>
        <w:rPr>
          <w:rFonts w:ascii="宋体" w:hAnsi="宋体" w:cs="宋体" w:hint="eastAsia"/>
          <w:sz w:val="24"/>
          <w:lang w:eastAsia="zh-TW"/>
        </w:rPr>
        <w:t>采购人</w:t>
      </w:r>
      <w:r>
        <w:rPr>
          <w:rFonts w:ascii="宋体" w:hAnsi="宋体" w:cs="宋体" w:hint="eastAsia"/>
          <w:sz w:val="24"/>
        </w:rPr>
        <w:t>、</w:t>
      </w:r>
      <w:r>
        <w:rPr>
          <w:rFonts w:ascii="宋体" w:hAnsi="宋体" w:cs="宋体" w:hint="eastAsia"/>
          <w:sz w:val="24"/>
          <w:lang w:eastAsia="zh-TW"/>
        </w:rPr>
        <w:t>采购代理机构所有。</w:t>
      </w:r>
    </w:p>
    <w:p>
      <w:pPr>
        <w:numPr>
          <w:ilvl w:val="0"/>
          <w:numId w:val="35"/>
        </w:numPr>
        <w:autoSpaceDE w:val="0"/>
        <w:autoSpaceDN w:val="0"/>
        <w:adjustRightInd w:val="0"/>
        <w:snapToGrid w:val="0"/>
        <w:spacing w:line="360" w:lineRule="auto"/>
        <w:ind w:left="487" w:hanging="424" w:hangingChars="202"/>
        <w:outlineLvl w:val="3"/>
        <w:rPr>
          <w:rFonts w:ascii="宋体" w:hAnsi="宋体"/>
          <w:b/>
          <w:bCs/>
          <w:sz w:val="24"/>
        </w:rPr>
      </w:pPr>
      <w:r>
        <w:rPr>
          <w:rFonts w:ascii="宋体" w:hAnsi="宋体" w:hint="eastAsia"/>
          <w:b/>
          <w:bCs/>
          <w:sz w:val="24"/>
        </w:rPr>
        <w:t>招标文件的澄清或修改</w:t>
      </w:r>
    </w:p>
    <w:p>
      <w:pPr>
        <w:numPr>
          <w:ilvl w:val="1"/>
          <w:numId w:val="35"/>
        </w:numPr>
        <w:autoSpaceDE w:val="0"/>
        <w:autoSpaceDN w:val="0"/>
        <w:adjustRightInd w:val="0"/>
        <w:snapToGrid w:val="0"/>
        <w:spacing w:line="360" w:lineRule="auto"/>
        <w:rPr>
          <w:rFonts w:ascii="宋体" w:hAnsi="宋体" w:cs="宋体"/>
          <w:sz w:val="24"/>
          <w:lang w:eastAsia="zh-TW"/>
        </w:rPr>
      </w:pPr>
      <w:r>
        <w:rPr>
          <w:rFonts w:ascii="宋体" w:hAnsi="宋体" w:cs="宋体" w:hint="eastAsia"/>
          <w:sz w:val="24"/>
          <w:lang w:eastAsia="zh-TW"/>
        </w:rPr>
        <w:t>采购人或者采购代理机构可以对已发出的招标文件进行必要的澄清或者修改。澄清或者修改应当在原公告发布媒体上发布澄清</w:t>
      </w:r>
      <w:r>
        <w:rPr>
          <w:rFonts w:ascii="宋体" w:hAnsi="宋体" w:hint="eastAsia"/>
          <w:sz w:val="24"/>
        </w:rPr>
        <w:t>（更正/变更）</w:t>
      </w:r>
      <w:r>
        <w:rPr>
          <w:rFonts w:ascii="宋体" w:hAnsi="宋体" w:cs="宋体" w:hint="eastAsia"/>
          <w:sz w:val="24"/>
          <w:lang w:eastAsia="zh-TW"/>
        </w:rPr>
        <w:t>公告。</w:t>
      </w:r>
    </w:p>
    <w:p>
      <w:pPr>
        <w:numPr>
          <w:ilvl w:val="1"/>
          <w:numId w:val="35"/>
        </w:numPr>
        <w:autoSpaceDE w:val="0"/>
        <w:autoSpaceDN w:val="0"/>
        <w:adjustRightInd w:val="0"/>
        <w:snapToGrid w:val="0"/>
        <w:spacing w:line="360" w:lineRule="auto"/>
        <w:rPr>
          <w:rFonts w:ascii="宋体" w:hAnsi="宋体" w:cs="宋体"/>
          <w:sz w:val="24"/>
          <w:lang w:eastAsia="zh-TW"/>
        </w:rPr>
      </w:pPr>
      <w:r>
        <w:rPr>
          <w:rFonts w:ascii="宋体" w:hAnsi="宋体" w:cs="宋体" w:hint="eastAsia"/>
          <w:sz w:val="24"/>
          <w:lang w:eastAsia="zh-TW"/>
        </w:rPr>
        <w:t>无论出于何种原因</w:t>
      </w:r>
      <w:r>
        <w:rPr>
          <w:rFonts w:ascii="宋体" w:hAnsi="宋体" w:cs="宋体" w:hint="eastAsia"/>
          <w:sz w:val="24"/>
        </w:rPr>
        <w:t>，</w:t>
      </w:r>
      <w:r>
        <w:rPr>
          <w:rFonts w:ascii="宋体" w:hAnsi="宋体" w:cs="宋体" w:hint="eastAsia"/>
          <w:sz w:val="24"/>
          <w:lang w:eastAsia="zh-TW"/>
        </w:rPr>
        <w:t>采购人或者采购代理机构可以主动地或在解答投标人提出的疑问时对已发出的招标文件进行必要的</w:t>
      </w:r>
      <w:r>
        <w:rPr>
          <w:rFonts w:ascii="宋体" w:hAnsi="宋体" w:hint="eastAsia"/>
          <w:sz w:val="24"/>
        </w:rPr>
        <w:t>澄清或</w:t>
      </w:r>
      <w:r>
        <w:rPr>
          <w:rFonts w:ascii="宋体" w:hAnsi="宋体" w:cs="宋体" w:hint="eastAsia"/>
          <w:sz w:val="24"/>
          <w:lang w:eastAsia="zh-TW"/>
        </w:rPr>
        <w:t>修改</w:t>
      </w:r>
      <w:r>
        <w:rPr>
          <w:rFonts w:ascii="宋体" w:hAnsi="宋体" w:hint="eastAsia"/>
          <w:sz w:val="24"/>
        </w:rPr>
        <w:t>（更正）</w:t>
      </w:r>
      <w:r>
        <w:rPr>
          <w:rFonts w:ascii="宋体" w:hAnsi="宋体" w:cs="宋体" w:hint="eastAsia"/>
          <w:sz w:val="24"/>
        </w:rPr>
        <w:t>的</w:t>
      </w:r>
      <w:r>
        <w:rPr>
          <w:rFonts w:ascii="宋体" w:hAnsi="宋体" w:hint="eastAsia"/>
          <w:sz w:val="24"/>
        </w:rPr>
        <w:t>，于投标截止时间前在指定媒体上发布公告</w:t>
      </w:r>
      <w:r>
        <w:rPr>
          <w:rFonts w:ascii="宋体" w:hAnsi="宋体" w:cs="宋体" w:hint="eastAsia"/>
          <w:sz w:val="24"/>
          <w:lang w:eastAsia="zh-TW"/>
        </w:rPr>
        <w:t>。</w:t>
      </w:r>
    </w:p>
    <w:p>
      <w:pPr>
        <w:numPr>
          <w:ilvl w:val="1"/>
          <w:numId w:val="35"/>
        </w:numPr>
        <w:autoSpaceDE w:val="0"/>
        <w:autoSpaceDN w:val="0"/>
        <w:adjustRightInd w:val="0"/>
        <w:snapToGrid w:val="0"/>
        <w:spacing w:line="360" w:lineRule="auto"/>
        <w:rPr>
          <w:rFonts w:ascii="宋体" w:hAnsi="宋体" w:cs="宋体"/>
          <w:sz w:val="24"/>
          <w:lang w:eastAsia="zh-TW"/>
        </w:rPr>
      </w:pPr>
      <w:r>
        <w:rPr>
          <w:rFonts w:ascii="宋体" w:hAnsi="宋体" w:hint="eastAsia"/>
          <w:bCs/>
          <w:sz w:val="24"/>
        </w:rPr>
        <w:t>为使投标人在准备投标文件时有合理的时间考虑招标文件的修改，采购代理机构可酌情推迟投标截止日期，并以公告形式通知已在</w:t>
      </w:r>
      <w:r>
        <w:rPr>
          <w:rFonts w:asciiTheme="minorEastAsia" w:eastAsiaTheme="minorEastAsia" w:hAnsiTheme="minorEastAsia" w:cstheme="minorEastAsia" w:hint="eastAsia"/>
          <w:bCs/>
          <w:sz w:val="24"/>
        </w:rPr>
        <w:t>深圳政府采购智慧平台（http://zfcg.szggzy.com:8081/）</w:t>
      </w:r>
      <w:r>
        <w:rPr>
          <w:rFonts w:ascii="宋体" w:hAnsi="宋体" w:hint="eastAsia"/>
          <w:bCs/>
          <w:sz w:val="24"/>
        </w:rPr>
        <w:t>上响应投标的每一投标人。</w:t>
      </w:r>
    </w:p>
    <w:p>
      <w:pPr>
        <w:numPr>
          <w:ilvl w:val="1"/>
          <w:numId w:val="35"/>
        </w:numPr>
        <w:autoSpaceDE w:val="0"/>
        <w:autoSpaceDN w:val="0"/>
        <w:adjustRightInd w:val="0"/>
        <w:snapToGrid w:val="0"/>
        <w:spacing w:line="360" w:lineRule="auto"/>
        <w:rPr>
          <w:rFonts w:ascii="宋体" w:hAnsi="宋体" w:cs="宋体"/>
          <w:sz w:val="24"/>
          <w:lang w:eastAsia="zh-TW"/>
        </w:rPr>
      </w:pPr>
      <w:r>
        <w:rPr>
          <w:rFonts w:ascii="宋体" w:hAnsi="宋体" w:cs="宋体" w:hint="eastAsia"/>
          <w:sz w:val="24"/>
          <w:lang w:eastAsia="zh-TW"/>
        </w:rPr>
        <w:t>采购人或者采购代理机构</w:t>
      </w:r>
      <w:r>
        <w:rPr>
          <w:rFonts w:ascii="宋体" w:hAnsi="宋体" w:cs="宋体" w:hint="eastAsia"/>
          <w:sz w:val="24"/>
        </w:rPr>
        <w:t>发出的</w:t>
      </w:r>
      <w:r>
        <w:rPr>
          <w:rFonts w:ascii="宋体" w:hAnsi="宋体" w:hint="eastAsia"/>
          <w:sz w:val="24"/>
        </w:rPr>
        <w:t>澄清或修改（更正/变更）的内容为招标文件的组成部分，</w:t>
      </w:r>
      <w:r>
        <w:rPr>
          <w:rFonts w:ascii="宋体" w:hAnsi="宋体" w:cs="宋体" w:hint="eastAsia"/>
          <w:sz w:val="24"/>
          <w:lang w:eastAsia="zh-TW"/>
        </w:rPr>
        <w:t>并对供应商具有约束力</w:t>
      </w:r>
      <w:r>
        <w:rPr>
          <w:rFonts w:ascii="宋体" w:hAnsi="宋体" w:cs="宋体" w:hint="eastAsia"/>
          <w:sz w:val="24"/>
        </w:rPr>
        <w:t>。</w:t>
      </w:r>
    </w:p>
    <w:p>
      <w:pPr>
        <w:numPr>
          <w:ilvl w:val="1"/>
          <w:numId w:val="35"/>
        </w:numPr>
        <w:autoSpaceDE w:val="0"/>
        <w:autoSpaceDN w:val="0"/>
        <w:adjustRightInd w:val="0"/>
        <w:snapToGrid w:val="0"/>
        <w:spacing w:line="360" w:lineRule="auto"/>
        <w:rPr>
          <w:rFonts w:ascii="宋体" w:hAnsi="宋体" w:cs="宋体"/>
          <w:sz w:val="24"/>
        </w:rPr>
      </w:pPr>
      <w:r>
        <w:rPr>
          <w:rFonts w:ascii="宋体" w:hAnsi="宋体" w:cs="宋体" w:hint="eastAsia"/>
          <w:sz w:val="24"/>
          <w:lang w:eastAsia="zh-TW"/>
        </w:rPr>
        <w:t>对招标文件中描述有歧意或前后不一致的地方，评审委员会有权进行评判</w:t>
      </w:r>
      <w:r>
        <w:rPr>
          <w:rFonts w:ascii="宋体" w:hAnsi="宋体" w:cs="宋体" w:hint="eastAsia"/>
          <w:sz w:val="24"/>
        </w:rPr>
        <w:t>，</w:t>
      </w:r>
      <w:r>
        <w:rPr>
          <w:rFonts w:ascii="宋体" w:hAnsi="宋体" w:cs="宋体" w:hint="eastAsia"/>
          <w:sz w:val="24"/>
          <w:lang w:eastAsia="zh-TW"/>
        </w:rPr>
        <w:t>但对同一条款的评判应适用于每个投标人。</w:t>
      </w:r>
    </w:p>
    <w:p>
      <w:pPr>
        <w:numPr>
          <w:ilvl w:val="1"/>
          <w:numId w:val="35"/>
        </w:numPr>
        <w:autoSpaceDE w:val="0"/>
        <w:autoSpaceDN w:val="0"/>
        <w:adjustRightInd w:val="0"/>
        <w:snapToGrid w:val="0"/>
        <w:spacing w:line="360" w:lineRule="auto"/>
        <w:rPr>
          <w:rFonts w:ascii="宋体" w:hAnsi="宋体" w:cs="宋体"/>
          <w:sz w:val="24"/>
        </w:rPr>
      </w:pPr>
      <w:r>
        <w:rPr>
          <w:rFonts w:hint="eastAsia"/>
          <w:sz w:val="24"/>
        </w:rPr>
        <w:t>投标人要求澄清的形式：登录深圳政府采购智慧平台（http://zfcg.szggzy.com:8081/）提出，也可以向采购人或采购代理机构书面提出，原则上逾期不予受理。</w:t>
      </w:r>
    </w:p>
    <w:p>
      <w:pPr>
        <w:numPr>
          <w:ilvl w:val="0"/>
          <w:numId w:val="35"/>
        </w:numPr>
        <w:autoSpaceDE w:val="0"/>
        <w:autoSpaceDN w:val="0"/>
        <w:adjustRightInd w:val="0"/>
        <w:snapToGrid w:val="0"/>
        <w:spacing w:line="360" w:lineRule="auto"/>
        <w:ind w:left="487" w:hanging="424" w:hangingChars="202"/>
        <w:outlineLvl w:val="3"/>
        <w:rPr>
          <w:rFonts w:ascii="宋体" w:hAnsi="宋体"/>
          <w:b/>
          <w:bCs/>
          <w:sz w:val="24"/>
        </w:rPr>
      </w:pPr>
      <w:r>
        <w:rPr>
          <w:rFonts w:ascii="宋体" w:hAnsi="宋体" w:hint="eastAsia"/>
          <w:b/>
          <w:bCs/>
          <w:sz w:val="24"/>
        </w:rPr>
        <w:t>现场考察或者召开开标前答疑会</w:t>
      </w:r>
    </w:p>
    <w:p>
      <w:pPr>
        <w:numPr>
          <w:ilvl w:val="1"/>
          <w:numId w:val="35"/>
        </w:numPr>
        <w:tabs>
          <w:tab w:val="left" w:pos="851"/>
        </w:tabs>
        <w:autoSpaceDE w:val="0"/>
        <w:autoSpaceDN w:val="0"/>
        <w:adjustRightInd w:val="0"/>
        <w:snapToGrid w:val="0"/>
        <w:spacing w:line="360" w:lineRule="auto"/>
        <w:rPr>
          <w:rFonts w:ascii="宋体" w:hAnsi="宋体" w:cs="宋体"/>
          <w:sz w:val="24"/>
        </w:rPr>
      </w:pPr>
      <w:r>
        <w:rPr>
          <w:rFonts w:ascii="宋体" w:hAnsi="宋体" w:cs="宋体" w:hint="eastAsia"/>
          <w:sz w:val="24"/>
        </w:rPr>
        <w:t>除非</w:t>
      </w:r>
      <w:r>
        <w:rPr>
          <w:rFonts w:ascii="宋体" w:hAnsi="宋体" w:cs="黑体" w:hint="eastAsia"/>
          <w:b/>
          <w:sz w:val="24"/>
        </w:rPr>
        <w:t>投标人须知前附表</w:t>
      </w:r>
      <w:r>
        <w:rPr>
          <w:rFonts w:ascii="宋体" w:hAnsi="宋体" w:cs="宋体" w:hint="eastAsia"/>
          <w:sz w:val="24"/>
        </w:rPr>
        <w:t>中另有规定，否则不举行项目</w:t>
      </w:r>
      <w:r>
        <w:rPr>
          <w:rFonts w:ascii="宋体" w:hAnsi="宋体" w:hint="eastAsia"/>
          <w:bCs/>
          <w:sz w:val="24"/>
        </w:rPr>
        <w:t>现场考察或者召开开标前答疑会</w:t>
      </w:r>
      <w:r>
        <w:rPr>
          <w:rFonts w:ascii="宋体" w:hAnsi="宋体" w:cs="宋体" w:hint="eastAsia"/>
          <w:sz w:val="24"/>
        </w:rPr>
        <w:t>，如举行</w:t>
      </w:r>
      <w:r>
        <w:rPr>
          <w:rFonts w:ascii="宋体" w:hAnsi="宋体" w:hint="eastAsia"/>
          <w:bCs/>
          <w:sz w:val="24"/>
        </w:rPr>
        <w:t>现场考察或者召开开标前答疑会</w:t>
      </w:r>
      <w:r>
        <w:rPr>
          <w:rFonts w:ascii="宋体" w:hAnsi="宋体" w:cs="宋体" w:hint="eastAsia"/>
          <w:sz w:val="24"/>
        </w:rPr>
        <w:t>的，则按以下规定：</w:t>
      </w:r>
    </w:p>
    <w:p>
      <w:pPr>
        <w:numPr>
          <w:ilvl w:val="2"/>
          <w:numId w:val="35"/>
        </w:numPr>
        <w:tabs>
          <w:tab w:val="left" w:pos="851"/>
        </w:tabs>
        <w:autoSpaceDE w:val="0"/>
        <w:autoSpaceDN w:val="0"/>
        <w:adjustRightInd w:val="0"/>
        <w:snapToGrid w:val="0"/>
        <w:spacing w:line="360" w:lineRule="auto"/>
        <w:rPr>
          <w:rFonts w:ascii="宋体" w:hAnsi="宋体" w:cs="宋体"/>
          <w:sz w:val="24"/>
        </w:rPr>
      </w:pPr>
      <w:r>
        <w:rPr>
          <w:rFonts w:ascii="宋体" w:hAnsi="宋体" w:cs="宋体" w:hint="eastAsia"/>
          <w:sz w:val="24"/>
          <w:lang w:eastAsia="zh-TW"/>
        </w:rPr>
        <w:t>在</w:t>
      </w:r>
      <w:r>
        <w:rPr>
          <w:rFonts w:ascii="宋体" w:hAnsi="宋体" w:cs="黑体" w:hint="eastAsia"/>
          <w:b/>
          <w:sz w:val="24"/>
          <w:lang w:eastAsia="zh-TW"/>
        </w:rPr>
        <w:t>投标人须知前附表</w:t>
      </w:r>
      <w:r>
        <w:rPr>
          <w:rFonts w:ascii="宋体" w:hAnsi="宋体" w:cs="宋体" w:hint="eastAsia"/>
          <w:sz w:val="24"/>
        </w:rPr>
        <w:t>中规定的日期、时间和地点组织</w:t>
      </w:r>
      <w:r>
        <w:rPr>
          <w:rFonts w:ascii="宋体" w:hAnsi="宋体" w:hint="eastAsia"/>
          <w:bCs/>
          <w:sz w:val="24"/>
        </w:rPr>
        <w:t>现场考察或者召开开标前答疑会</w:t>
      </w:r>
      <w:r>
        <w:rPr>
          <w:rFonts w:ascii="宋体" w:hAnsi="宋体" w:cs="宋体" w:hint="eastAsia"/>
          <w:sz w:val="24"/>
        </w:rPr>
        <w:t>；</w:t>
      </w:r>
    </w:p>
    <w:p>
      <w:pPr>
        <w:numPr>
          <w:ilvl w:val="2"/>
          <w:numId w:val="35"/>
        </w:numPr>
        <w:tabs>
          <w:tab w:val="left" w:pos="851"/>
        </w:tabs>
        <w:autoSpaceDE w:val="0"/>
        <w:autoSpaceDN w:val="0"/>
        <w:adjustRightInd w:val="0"/>
        <w:snapToGrid w:val="0"/>
        <w:spacing w:line="360" w:lineRule="auto"/>
        <w:rPr>
          <w:rFonts w:ascii="宋体" w:hAnsi="宋体" w:cs="宋体"/>
          <w:sz w:val="24"/>
          <w:lang w:eastAsia="zh-TW"/>
        </w:rPr>
      </w:pPr>
      <w:r>
        <w:rPr>
          <w:rFonts w:ascii="宋体" w:hAnsi="宋体" w:cs="宋体" w:hint="eastAsia"/>
          <w:sz w:val="24"/>
        </w:rPr>
        <w:t>供应商</w:t>
      </w:r>
      <w:r>
        <w:rPr>
          <w:rFonts w:ascii="宋体" w:hAnsi="宋体" w:cs="宋体" w:hint="eastAsia"/>
          <w:sz w:val="24"/>
          <w:lang w:eastAsia="zh-TW"/>
        </w:rPr>
        <w:t>对本项目提出的疑问，</w:t>
      </w:r>
      <w:r>
        <w:rPr>
          <w:rFonts w:ascii="宋体" w:hAnsi="宋体" w:cs="宋体" w:hint="eastAsia"/>
          <w:sz w:val="24"/>
        </w:rPr>
        <w:t>可</w:t>
      </w:r>
      <w:r>
        <w:rPr>
          <w:rFonts w:ascii="宋体" w:hAnsi="宋体" w:cs="宋体" w:hint="eastAsia"/>
          <w:sz w:val="24"/>
          <w:lang w:eastAsia="zh-TW"/>
        </w:rPr>
        <w:t>在</w:t>
      </w:r>
      <w:r>
        <w:rPr>
          <w:rFonts w:ascii="宋体" w:hAnsi="宋体" w:hint="eastAsia"/>
          <w:bCs/>
          <w:sz w:val="24"/>
        </w:rPr>
        <w:t>现场考察或者召开开标前答疑会</w:t>
      </w:r>
      <w:r>
        <w:rPr>
          <w:rFonts w:ascii="宋体" w:hAnsi="宋体" w:cs="宋体" w:hint="eastAsia"/>
          <w:sz w:val="24"/>
          <w:lang w:eastAsia="zh-TW"/>
        </w:rPr>
        <w:t>召开日前至少一个工作日将问题清单以书面形式（加盖公章）提交至采购代理机构。</w:t>
      </w:r>
    </w:p>
    <w:p>
      <w:pPr>
        <w:numPr>
          <w:ilvl w:val="0"/>
          <w:numId w:val="33"/>
        </w:numPr>
        <w:autoSpaceDE w:val="0"/>
        <w:autoSpaceDN w:val="0"/>
        <w:adjustRightInd w:val="0"/>
        <w:snapToGrid w:val="0"/>
        <w:spacing w:line="360" w:lineRule="auto"/>
        <w:ind w:left="708" w:hanging="529" w:hangingChars="252"/>
        <w:jc w:val="center"/>
        <w:outlineLvl w:val="2"/>
        <w:rPr>
          <w:rFonts w:ascii="宋体" w:hAnsi="宋体"/>
          <w:b/>
          <w:sz w:val="28"/>
          <w:szCs w:val="28"/>
          <w:lang w:eastAsia="zh-TW"/>
        </w:rPr>
      </w:pPr>
      <w:bookmarkStart w:id="103" w:name="_Toc435516652"/>
      <w:bookmarkStart w:id="104" w:name="_Toc438223138"/>
      <w:bookmarkStart w:id="105" w:name="_Toc21310"/>
      <w:bookmarkStart w:id="106" w:name="_Toc435174935"/>
      <w:bookmarkStart w:id="107" w:name="_Toc256000016"/>
      <w:r>
        <w:rPr>
          <w:rFonts w:ascii="宋体" w:hAnsi="宋体" w:hint="eastAsia"/>
          <w:b/>
          <w:sz w:val="28"/>
          <w:szCs w:val="28"/>
          <w:lang w:eastAsia="zh-TW"/>
        </w:rPr>
        <w:t>投标文件的编制</w:t>
      </w:r>
      <w:bookmarkEnd w:id="107"/>
      <w:bookmarkEnd w:id="103"/>
      <w:bookmarkEnd w:id="104"/>
      <w:bookmarkEnd w:id="105"/>
      <w:bookmarkEnd w:id="106"/>
    </w:p>
    <w:p>
      <w:pPr>
        <w:numPr>
          <w:ilvl w:val="0"/>
          <w:numId w:val="36"/>
        </w:numPr>
        <w:autoSpaceDE w:val="0"/>
        <w:autoSpaceDN w:val="0"/>
        <w:adjustRightInd w:val="0"/>
        <w:snapToGrid w:val="0"/>
        <w:spacing w:line="360" w:lineRule="auto"/>
        <w:outlineLvl w:val="3"/>
        <w:rPr>
          <w:rFonts w:ascii="宋体" w:hAnsi="宋体"/>
          <w:b/>
          <w:bCs/>
          <w:sz w:val="24"/>
        </w:rPr>
      </w:pPr>
      <w:r>
        <w:rPr>
          <w:rFonts w:ascii="宋体" w:hAnsi="宋体" w:hint="eastAsia"/>
          <w:b/>
          <w:bCs/>
          <w:sz w:val="24"/>
        </w:rPr>
        <w:t>投标的语言</w:t>
      </w:r>
    </w:p>
    <w:p>
      <w:pPr>
        <w:numPr>
          <w:ilvl w:val="1"/>
          <w:numId w:val="36"/>
        </w:numPr>
        <w:autoSpaceDE w:val="0"/>
        <w:autoSpaceDN w:val="0"/>
        <w:adjustRightInd w:val="0"/>
        <w:snapToGrid w:val="0"/>
        <w:spacing w:line="360" w:lineRule="auto"/>
        <w:rPr>
          <w:rFonts w:ascii="宋体" w:hAnsi="宋体" w:cs="黑体"/>
          <w:b/>
          <w:bCs/>
          <w:sz w:val="24"/>
        </w:rPr>
      </w:pPr>
      <w:r>
        <w:rPr>
          <w:rFonts w:ascii="宋体" w:hAnsi="宋体" w:cs="宋体" w:hint="eastAsia"/>
          <w:sz w:val="24"/>
          <w:lang w:eastAsia="zh-TW"/>
        </w:rPr>
        <w:t>投标人提交的投标文件以及投标人与采购人</w:t>
      </w:r>
      <w:r>
        <w:rPr>
          <w:rFonts w:ascii="宋体" w:hAnsi="宋体" w:cs="宋体" w:hint="eastAsia"/>
          <w:sz w:val="24"/>
        </w:rPr>
        <w:t>或者</w:t>
      </w:r>
      <w:r>
        <w:rPr>
          <w:rFonts w:ascii="宋体" w:hAnsi="宋体" w:cs="宋体" w:hint="eastAsia"/>
          <w:sz w:val="24"/>
          <w:lang w:eastAsia="zh-TW"/>
        </w:rPr>
        <w:t>采购代理机构就有关投标的所有来往函电均应使用中文书写</w:t>
      </w:r>
      <w:r>
        <w:rPr>
          <w:rFonts w:ascii="宋体" w:hAnsi="宋体" w:cs="宋体" w:hint="eastAsia"/>
          <w:sz w:val="24"/>
        </w:rPr>
        <w:t>。投</w:t>
      </w:r>
      <w:r>
        <w:rPr>
          <w:rFonts w:ascii="宋体" w:hAnsi="宋体" w:cs="宋体" w:hint="eastAsia"/>
          <w:sz w:val="24"/>
          <w:lang w:eastAsia="zh-TW"/>
        </w:rPr>
        <w:t>标人提交的支持文件或印刷的资料可以用另一种语言</w:t>
      </w:r>
      <w:r>
        <w:rPr>
          <w:rFonts w:ascii="宋体" w:hAnsi="宋体" w:cs="宋体" w:hint="eastAsia"/>
          <w:sz w:val="24"/>
        </w:rPr>
        <w:t>，</w:t>
      </w:r>
      <w:r>
        <w:rPr>
          <w:rFonts w:ascii="宋体" w:hAnsi="宋体" w:cs="宋体" w:hint="eastAsia"/>
          <w:sz w:val="24"/>
          <w:lang w:eastAsia="zh-TW"/>
        </w:rPr>
        <w:t>但相应内容应附有中文翻译本</w:t>
      </w:r>
      <w:r>
        <w:rPr>
          <w:rFonts w:ascii="宋体" w:hAnsi="宋体" w:cs="宋体" w:hint="eastAsia"/>
          <w:sz w:val="24"/>
        </w:rPr>
        <w:t>，由翻译机构盖章或者翻译人员签名。</w:t>
      </w:r>
      <w:r>
        <w:rPr>
          <w:rFonts w:ascii="宋体" w:hAnsi="宋体" w:hint="eastAsia"/>
          <w:sz w:val="24"/>
        </w:rPr>
        <w:t>两种语言不一致时以中文翻译本为准。</w:t>
      </w:r>
    </w:p>
    <w:p>
      <w:pPr>
        <w:numPr>
          <w:ilvl w:val="0"/>
          <w:numId w:val="36"/>
        </w:numPr>
        <w:autoSpaceDE w:val="0"/>
        <w:autoSpaceDN w:val="0"/>
        <w:adjustRightInd w:val="0"/>
        <w:snapToGrid w:val="0"/>
        <w:spacing w:line="360" w:lineRule="auto"/>
        <w:ind w:left="487" w:hanging="424" w:hangingChars="202"/>
        <w:outlineLvl w:val="3"/>
        <w:rPr>
          <w:rFonts w:ascii="宋体" w:hAnsi="宋体"/>
          <w:b/>
          <w:bCs/>
          <w:sz w:val="24"/>
        </w:rPr>
      </w:pPr>
      <w:r>
        <w:rPr>
          <w:rFonts w:ascii="宋体" w:hAnsi="宋体" w:hint="eastAsia"/>
          <w:b/>
          <w:bCs/>
          <w:sz w:val="24"/>
        </w:rPr>
        <w:t>投标文件的构成</w:t>
      </w:r>
    </w:p>
    <w:p>
      <w:pPr>
        <w:numPr>
          <w:ilvl w:val="1"/>
          <w:numId w:val="36"/>
        </w:numPr>
        <w:autoSpaceDE w:val="0"/>
        <w:autoSpaceDN w:val="0"/>
        <w:adjustRightInd w:val="0"/>
        <w:snapToGrid w:val="0"/>
        <w:spacing w:line="360" w:lineRule="auto"/>
        <w:rPr>
          <w:rFonts w:ascii="宋体" w:hAnsi="宋体" w:cs="宋体"/>
          <w:sz w:val="24"/>
          <w:lang w:eastAsia="zh-TW"/>
        </w:rPr>
      </w:pPr>
      <w:r>
        <w:rPr>
          <w:rFonts w:ascii="宋体" w:hAnsi="宋体" w:cs="宋体" w:hint="eastAsia"/>
          <w:sz w:val="24"/>
          <w:lang w:eastAsia="zh-TW"/>
        </w:rPr>
        <w:t>投标人应当按照招标文件的要求编制投标文件。投标文件应当对招标文件提出的要求和条件作出明确响应。投标文件的组成</w:t>
      </w:r>
      <w:r>
        <w:rPr>
          <w:rFonts w:ascii="宋体" w:hAnsi="宋体" w:cs="宋体" w:hint="eastAsia"/>
          <w:sz w:val="24"/>
        </w:rPr>
        <w:t>包括但不仅仅限于</w:t>
      </w:r>
      <w:r>
        <w:rPr>
          <w:rFonts w:asciiTheme="minorEastAsia" w:eastAsiaTheme="minorEastAsia" w:hAnsiTheme="minorEastAsia" w:cs="宋体" w:hint="eastAsia"/>
          <w:b/>
          <w:sz w:val="24"/>
        </w:rPr>
        <w:t>价格文件、资格性文件、符合性文件、技术文件、商务文件</w:t>
      </w:r>
      <w:r>
        <w:rPr>
          <w:rFonts w:asciiTheme="minorEastAsia" w:eastAsiaTheme="minorEastAsia" w:hAnsiTheme="minorEastAsia" w:cs="宋体" w:hint="eastAsia"/>
          <w:sz w:val="24"/>
        </w:rPr>
        <w:t>等</w:t>
      </w:r>
      <w:r>
        <w:rPr>
          <w:rFonts w:ascii="宋体" w:hAnsi="宋体" w:cs="宋体" w:hint="eastAsia"/>
          <w:sz w:val="24"/>
        </w:rPr>
        <w:t>。</w:t>
      </w:r>
    </w:p>
    <w:p>
      <w:pPr>
        <w:numPr>
          <w:ilvl w:val="1"/>
          <w:numId w:val="36"/>
        </w:numPr>
        <w:autoSpaceDE w:val="0"/>
        <w:autoSpaceDN w:val="0"/>
        <w:adjustRightInd w:val="0"/>
        <w:snapToGrid w:val="0"/>
        <w:spacing w:line="360" w:lineRule="auto"/>
        <w:rPr>
          <w:rFonts w:ascii="宋体" w:hAnsi="宋体" w:cs="宋体"/>
          <w:sz w:val="24"/>
          <w:lang w:eastAsia="zh-TW"/>
        </w:rPr>
      </w:pPr>
      <w:r>
        <w:rPr>
          <w:rFonts w:ascii="宋体" w:hAnsi="宋体" w:cs="宋体" w:hint="eastAsia"/>
          <w:sz w:val="24"/>
          <w:lang w:eastAsia="zh-TW"/>
        </w:rPr>
        <w:t>投标文件的构成应符合法律法规及招标文件的要求。</w:t>
      </w:r>
    </w:p>
    <w:p>
      <w:pPr>
        <w:numPr>
          <w:ilvl w:val="0"/>
          <w:numId w:val="36"/>
        </w:numPr>
        <w:autoSpaceDE w:val="0"/>
        <w:autoSpaceDN w:val="0"/>
        <w:adjustRightInd w:val="0"/>
        <w:snapToGrid w:val="0"/>
        <w:spacing w:line="360" w:lineRule="auto"/>
        <w:ind w:left="487" w:hanging="424" w:hangingChars="202"/>
        <w:outlineLvl w:val="3"/>
        <w:rPr>
          <w:rFonts w:ascii="宋体" w:hAnsi="宋体"/>
          <w:b/>
          <w:bCs/>
          <w:sz w:val="24"/>
        </w:rPr>
      </w:pPr>
      <w:r>
        <w:rPr>
          <w:rFonts w:ascii="宋体" w:hAnsi="宋体" w:hint="eastAsia"/>
          <w:b/>
          <w:bCs/>
          <w:sz w:val="24"/>
        </w:rPr>
        <w:t>投标文件的编写</w:t>
      </w:r>
    </w:p>
    <w:p>
      <w:pPr>
        <w:numPr>
          <w:ilvl w:val="1"/>
          <w:numId w:val="36"/>
        </w:numPr>
        <w:tabs>
          <w:tab w:val="left" w:pos="709"/>
        </w:tabs>
        <w:autoSpaceDE w:val="0"/>
        <w:autoSpaceDN w:val="0"/>
        <w:adjustRightInd w:val="0"/>
        <w:snapToGrid w:val="0"/>
        <w:spacing w:line="360" w:lineRule="auto"/>
        <w:rPr>
          <w:rFonts w:ascii="宋体" w:hAnsi="宋体" w:cs="宋体"/>
          <w:sz w:val="24"/>
        </w:rPr>
      </w:pPr>
      <w:r>
        <w:rPr>
          <w:rFonts w:ascii="宋体" w:hAnsi="宋体" w:cs="宋体" w:hint="eastAsia"/>
          <w:sz w:val="24"/>
          <w:lang w:eastAsia="zh-TW"/>
        </w:rPr>
        <w:t>投标人必须对投标文件所提供的全部资料的真实性承担法律责任，并无条件接受采购人或者采购代理机构或者</w:t>
      </w:r>
      <w:r>
        <w:rPr>
          <w:rFonts w:ascii="宋体" w:hAnsi="宋体" w:hint="eastAsia"/>
          <w:sz w:val="24"/>
        </w:rPr>
        <w:t>政府采购监督管理部门</w:t>
      </w:r>
      <w:r>
        <w:rPr>
          <w:rFonts w:ascii="宋体" w:hAnsi="宋体" w:cs="宋体" w:hint="eastAsia"/>
          <w:sz w:val="24"/>
          <w:lang w:eastAsia="zh-TW"/>
        </w:rPr>
        <w:t>对其中任何资料进行核实的要求。</w:t>
      </w:r>
    </w:p>
    <w:p>
      <w:pPr>
        <w:numPr>
          <w:ilvl w:val="1"/>
          <w:numId w:val="36"/>
        </w:numPr>
        <w:tabs>
          <w:tab w:val="left" w:pos="709"/>
        </w:tabs>
        <w:autoSpaceDE w:val="0"/>
        <w:autoSpaceDN w:val="0"/>
        <w:adjustRightInd w:val="0"/>
        <w:snapToGrid w:val="0"/>
        <w:spacing w:line="360" w:lineRule="auto"/>
        <w:rPr>
          <w:rFonts w:ascii="宋体" w:hAnsi="宋体" w:cs="宋体"/>
          <w:sz w:val="24"/>
        </w:rPr>
      </w:pPr>
      <w:r>
        <w:rPr>
          <w:rFonts w:ascii="宋体" w:hAnsi="宋体" w:cs="宋体" w:hint="eastAsia"/>
          <w:sz w:val="24"/>
        </w:rPr>
        <w:t>投标人应准备所投项目的电子投标文件一份。此电子投标文件须由投标人根据采购代理机构提供的后缀名为.szczf的电子招标文件，下载并使用相应的深圳智慧采购平台投标文件制作专用软件打开招标文件（.szczf格式）【下载地址：</w:t>
      </w:r>
      <w:r>
        <w:rPr>
          <w:rFonts w:ascii="宋体" w:hAnsi="宋体" w:cs="宋体"/>
          <w:sz w:val="24"/>
        </w:rPr>
        <w:t>http://zfcg.szggzy.com/</w:t>
      </w:r>
      <w:r>
        <w:rPr>
          <w:rFonts w:ascii="宋体" w:hAnsi="宋体" w:cs="宋体" w:hint="eastAsia"/>
          <w:sz w:val="24"/>
        </w:rPr>
        <w:t>TPBidder/DownLoad/深圳市智慧采购平台投标文件制作专用软件.zip】。</w:t>
      </w:r>
    </w:p>
    <w:p>
      <w:pPr>
        <w:numPr>
          <w:ilvl w:val="1"/>
          <w:numId w:val="36"/>
        </w:numPr>
        <w:tabs>
          <w:tab w:val="left" w:pos="709"/>
        </w:tabs>
        <w:autoSpaceDE w:val="0"/>
        <w:autoSpaceDN w:val="0"/>
        <w:adjustRightInd w:val="0"/>
        <w:snapToGrid w:val="0"/>
        <w:spacing w:line="360" w:lineRule="auto"/>
        <w:rPr>
          <w:rFonts w:ascii="宋体" w:hAnsi="宋体" w:cs="宋体"/>
          <w:sz w:val="24"/>
          <w:lang w:eastAsia="zh-TW"/>
        </w:rPr>
      </w:pPr>
      <w:r>
        <w:rPr>
          <w:rFonts w:ascii="宋体" w:hAnsi="宋体" w:cs="宋体" w:hint="eastAsia"/>
          <w:sz w:val="24"/>
          <w:lang w:eastAsia="zh-TW"/>
        </w:rPr>
        <w:t>投标人在使用《投标文件制作软件》编制投标书时须注意：</w:t>
      </w:r>
    </w:p>
    <w:p>
      <w:pPr>
        <w:numPr>
          <w:ilvl w:val="2"/>
          <w:numId w:val="36"/>
        </w:numPr>
        <w:tabs>
          <w:tab w:val="left" w:pos="851"/>
        </w:tabs>
        <w:autoSpaceDE w:val="0"/>
        <w:autoSpaceDN w:val="0"/>
        <w:adjustRightInd w:val="0"/>
        <w:snapToGrid w:val="0"/>
        <w:spacing w:line="360" w:lineRule="auto"/>
        <w:rPr>
          <w:rFonts w:ascii="宋体" w:hAnsi="宋体"/>
          <w:sz w:val="24"/>
        </w:rPr>
      </w:pPr>
      <w:r>
        <w:rPr>
          <w:rFonts w:ascii="宋体" w:hAnsi="宋体" w:hint="eastAsia"/>
          <w:sz w:val="24"/>
        </w:rPr>
        <w:t>导入《投标文件制作软件》的招标文件项目编号、包号应与以此制作的投标文件项目编号、包号一致。例如，不能将甲项目A包的招标书导入《投标文件制作软件》，制作乙项目B包的投标书。</w:t>
      </w:r>
    </w:p>
    <w:p>
      <w:pPr>
        <w:numPr>
          <w:ilvl w:val="2"/>
          <w:numId w:val="36"/>
        </w:numPr>
        <w:tabs>
          <w:tab w:val="left" w:pos="851"/>
        </w:tabs>
        <w:autoSpaceDE w:val="0"/>
        <w:autoSpaceDN w:val="0"/>
        <w:adjustRightInd w:val="0"/>
        <w:snapToGrid w:val="0"/>
        <w:spacing w:line="360" w:lineRule="auto"/>
        <w:rPr>
          <w:rFonts w:ascii="宋体" w:hAnsi="宋体"/>
          <w:sz w:val="24"/>
        </w:rPr>
      </w:pPr>
      <w:r>
        <w:rPr>
          <w:rFonts w:ascii="宋体" w:hAnsi="宋体" w:hint="eastAsia"/>
          <w:sz w:val="24"/>
        </w:rPr>
        <w:t>不能用非本公司的电子密钥加密本公司的投标文件，或者用其它公司的登录用户上传本公司的投标文件。</w:t>
      </w:r>
    </w:p>
    <w:p>
      <w:pPr>
        <w:numPr>
          <w:ilvl w:val="2"/>
          <w:numId w:val="36"/>
        </w:numPr>
        <w:tabs>
          <w:tab w:val="left" w:pos="851"/>
        </w:tabs>
        <w:autoSpaceDE w:val="0"/>
        <w:autoSpaceDN w:val="0"/>
        <w:adjustRightInd w:val="0"/>
        <w:snapToGrid w:val="0"/>
        <w:spacing w:line="360" w:lineRule="auto"/>
        <w:rPr>
          <w:rFonts w:ascii="宋体" w:hAnsi="宋体"/>
          <w:sz w:val="24"/>
        </w:rPr>
      </w:pPr>
      <w:r>
        <w:rPr>
          <w:rFonts w:ascii="宋体" w:hAnsi="宋体" w:hint="eastAsia"/>
          <w:sz w:val="24"/>
        </w:rPr>
        <w:t>要求用《投标文件制作软件》编制投标书的包，不能用其它方式编制投标书。编制投标文件时，电脑须连通互联网。</w:t>
      </w:r>
    </w:p>
    <w:p>
      <w:pPr>
        <w:numPr>
          <w:ilvl w:val="2"/>
          <w:numId w:val="36"/>
        </w:numPr>
        <w:tabs>
          <w:tab w:val="left" w:pos="851"/>
        </w:tabs>
        <w:autoSpaceDE w:val="0"/>
        <w:autoSpaceDN w:val="0"/>
        <w:adjustRightInd w:val="0"/>
        <w:snapToGrid w:val="0"/>
        <w:spacing w:line="360" w:lineRule="auto"/>
        <w:rPr>
          <w:rFonts w:ascii="宋体" w:hAnsi="宋体"/>
          <w:sz w:val="24"/>
        </w:rPr>
      </w:pPr>
      <w:r>
        <w:rPr>
          <w:rFonts w:ascii="宋体" w:hAnsi="宋体" w:hint="eastAsia"/>
          <w:sz w:val="24"/>
        </w:rPr>
        <w:t>投标文件不能带病毒。采购代理机构将用专业杀毒软件对投标文件进行病毒检测，如果这两种软件均报告发现病毒，则采购代理机构认为该投标文件带病毒。</w:t>
      </w:r>
    </w:p>
    <w:p>
      <w:pPr>
        <w:numPr>
          <w:ilvl w:val="2"/>
          <w:numId w:val="36"/>
        </w:numPr>
        <w:tabs>
          <w:tab w:val="left" w:pos="851"/>
        </w:tabs>
        <w:autoSpaceDE w:val="0"/>
        <w:autoSpaceDN w:val="0"/>
        <w:adjustRightInd w:val="0"/>
        <w:snapToGrid w:val="0"/>
        <w:spacing w:line="360" w:lineRule="auto"/>
        <w:rPr>
          <w:rFonts w:ascii="宋体" w:hAnsi="宋体"/>
          <w:sz w:val="24"/>
        </w:rPr>
      </w:pPr>
      <w:r>
        <w:rPr>
          <w:rFonts w:ascii="宋体" w:hAnsi="宋体" w:hint="eastAsia"/>
          <w:sz w:val="24"/>
        </w:rPr>
        <w:t>完整填写“投标关键信息”，如下图所示：</w:t>
      </w:r>
    </w:p>
    <w:p>
      <w:pPr>
        <w:spacing w:line="360" w:lineRule="auto"/>
        <w:rPr>
          <w:rFonts w:ascii="宋体" w:hAnsi="宋体"/>
          <w:b/>
          <w:sz w:val="24"/>
        </w:rPr>
      </w:pPr>
      <w:r>
        <w:rPr>
          <w:sz w:val="24"/>
        </w:rPr>
        <w:drawing>
          <wp:anchor distT="0" distB="0" distL="114300" distR="114300" simplePos="0" relativeHeight="251658240" behindDoc="0" locked="0" layoutInCell="1" allowOverlap="1">
            <wp:simplePos x="0" y="0"/>
            <wp:positionH relativeFrom="column">
              <wp:posOffset>0</wp:posOffset>
            </wp:positionH>
            <wp:positionV relativeFrom="paragraph">
              <wp:posOffset>26670</wp:posOffset>
            </wp:positionV>
            <wp:extent cx="5278755" cy="2721610"/>
            <wp:effectExtent l="0" t="0" r="17145" b="2540"/>
            <wp:wrapTopAndBottom/>
            <wp:docPr id="13" name="图片 13" descr="图形用户界面, 应用程序&#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图形用户界面, 应用程序&#10;&#10;描述已自动生成"/>
                    <pic:cNvPicPr>
                      <a:picLocks noChangeAspect="1" noChangeArrowheads="1"/>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5278755" cy="2721610"/>
                    </a:xfrm>
                    <a:prstGeom prst="rect">
                      <a:avLst/>
                    </a:prstGeom>
                    <a:noFill/>
                    <a:ln>
                      <a:noFill/>
                    </a:ln>
                  </pic:spPr>
                </pic:pic>
              </a:graphicData>
            </a:graphic>
          </wp:anchor>
        </w:drawing>
      </w:r>
      <w:r>
        <w:rPr>
          <w:rFonts w:ascii="宋体" w:hAnsi="宋体" w:hint="eastAsia"/>
          <w:b/>
          <w:sz w:val="24"/>
        </w:rPr>
        <w:t>备注：上述“开标一览表”中的“投标总价”将作为价格分计算依据；其它信息仅是对投标文件相关内容的概括性表述，不作为评审依据。</w:t>
      </w:r>
    </w:p>
    <w:p>
      <w:pPr>
        <w:numPr>
          <w:ilvl w:val="2"/>
          <w:numId w:val="36"/>
        </w:numPr>
        <w:tabs>
          <w:tab w:val="left" w:pos="851"/>
        </w:tabs>
        <w:autoSpaceDE w:val="0"/>
        <w:autoSpaceDN w:val="0"/>
        <w:adjustRightInd w:val="0"/>
        <w:snapToGrid w:val="0"/>
        <w:spacing w:line="360" w:lineRule="auto"/>
        <w:rPr>
          <w:rFonts w:ascii="宋体" w:hAnsi="宋体"/>
          <w:sz w:val="24"/>
        </w:rPr>
      </w:pPr>
      <w:r>
        <w:rPr>
          <w:rFonts w:ascii="宋体" w:hAnsi="宋体" w:hint="eastAsia"/>
          <w:sz w:val="24"/>
        </w:rPr>
        <w:t>投标人在编辑投标文件时，在投标文件目录中属于本节点内容的必须在本节点中填写，填写到其他节点或附件，一切后果由投标人自行承担。</w:t>
      </w:r>
    </w:p>
    <w:p>
      <w:pPr>
        <w:numPr>
          <w:ilvl w:val="2"/>
          <w:numId w:val="36"/>
        </w:numPr>
        <w:tabs>
          <w:tab w:val="left" w:pos="851"/>
        </w:tabs>
        <w:autoSpaceDE w:val="0"/>
        <w:autoSpaceDN w:val="0"/>
        <w:adjustRightInd w:val="0"/>
        <w:snapToGrid w:val="0"/>
        <w:spacing w:line="360" w:lineRule="auto"/>
        <w:rPr>
          <w:rFonts w:ascii="宋体" w:hAnsi="宋体"/>
          <w:sz w:val="24"/>
        </w:rPr>
      </w:pPr>
      <w:r>
        <w:rPr>
          <w:rFonts w:ascii="宋体" w:hAnsi="宋体" w:hint="eastAsia"/>
          <w:sz w:val="24"/>
        </w:rPr>
        <w:t>投标文件编写完成后，必须用属于投标人的电子密钥进行加密，否则视同未盖公章，将导致投标文件无效。</w:t>
      </w:r>
    </w:p>
    <w:p>
      <w:pPr>
        <w:numPr>
          <w:ilvl w:val="2"/>
          <w:numId w:val="36"/>
        </w:numPr>
        <w:tabs>
          <w:tab w:val="left" w:pos="851"/>
        </w:tabs>
        <w:autoSpaceDE w:val="0"/>
        <w:autoSpaceDN w:val="0"/>
        <w:adjustRightInd w:val="0"/>
        <w:snapToGrid w:val="0"/>
        <w:spacing w:line="360" w:lineRule="auto"/>
        <w:rPr>
          <w:rFonts w:ascii="宋体" w:hAnsi="宋体"/>
          <w:sz w:val="24"/>
        </w:rPr>
      </w:pPr>
      <w:r>
        <w:rPr>
          <w:rFonts w:ascii="宋体" w:hAnsi="宋体" w:hint="eastAsia"/>
          <w:sz w:val="24"/>
        </w:rPr>
        <w:t>采购代理机构不接受投标截止时间后递交的纸质、电子、传真等所有形式的投标文件。由于对网上政府采购系统操作不熟悉或自身电脑、网络等原因导致不能在投标截止时间之前上传投标文件，采购代理机构概不负责。建议于开标前一个工作日完成投标文件的制作与上传，如上传确有困难，请及时咨询。</w:t>
      </w:r>
    </w:p>
    <w:p>
      <w:pPr>
        <w:numPr>
          <w:ilvl w:val="2"/>
          <w:numId w:val="36"/>
        </w:numPr>
        <w:tabs>
          <w:tab w:val="left" w:pos="851"/>
        </w:tabs>
        <w:autoSpaceDE w:val="0"/>
        <w:autoSpaceDN w:val="0"/>
        <w:adjustRightInd w:val="0"/>
        <w:snapToGrid w:val="0"/>
        <w:spacing w:line="360" w:lineRule="auto"/>
        <w:rPr>
          <w:rFonts w:ascii="宋体" w:hAnsi="宋体"/>
          <w:sz w:val="24"/>
        </w:rPr>
      </w:pPr>
      <w:r>
        <w:rPr>
          <w:rFonts w:ascii="宋体" w:hAnsi="宋体" w:hint="eastAsia"/>
          <w:sz w:val="24"/>
        </w:rPr>
        <w:t>如果开标时出现网络故障、技术故障，影响了政府采购活动，采购代理机构有权采取措施如延期、接受无法从网上上传的投标书等，以保障政府采购活动的公开、公平和公正。</w:t>
      </w:r>
    </w:p>
    <w:p>
      <w:pPr>
        <w:numPr>
          <w:ilvl w:val="1"/>
          <w:numId w:val="36"/>
        </w:numPr>
        <w:tabs>
          <w:tab w:val="left" w:pos="709"/>
        </w:tabs>
        <w:autoSpaceDE w:val="0"/>
        <w:autoSpaceDN w:val="0"/>
        <w:adjustRightInd w:val="0"/>
        <w:snapToGrid w:val="0"/>
        <w:spacing w:line="360" w:lineRule="auto"/>
        <w:rPr>
          <w:rFonts w:ascii="宋体" w:hAnsi="宋体"/>
          <w:sz w:val="24"/>
        </w:rPr>
      </w:pPr>
      <w:r>
        <w:rPr>
          <w:rFonts w:ascii="宋体" w:hAnsi="宋体" w:hint="eastAsia"/>
          <w:sz w:val="24"/>
        </w:rPr>
        <w:t>电报、电话、传真形式的投标概不接受。</w:t>
      </w:r>
    </w:p>
    <w:p>
      <w:pPr>
        <w:numPr>
          <w:ilvl w:val="1"/>
          <w:numId w:val="36"/>
        </w:numPr>
        <w:tabs>
          <w:tab w:val="left" w:pos="709"/>
        </w:tabs>
        <w:autoSpaceDE w:val="0"/>
        <w:autoSpaceDN w:val="0"/>
        <w:adjustRightInd w:val="0"/>
        <w:snapToGrid w:val="0"/>
        <w:spacing w:line="360" w:lineRule="auto"/>
        <w:rPr>
          <w:rFonts w:ascii="宋体" w:hAnsi="宋体"/>
          <w:sz w:val="24"/>
        </w:rPr>
      </w:pPr>
      <w:r>
        <w:rPr>
          <w:rFonts w:ascii="宋体" w:hAnsi="宋体" w:hint="eastAsia"/>
          <w:b/>
          <w:bCs/>
          <w:sz w:val="24"/>
        </w:rPr>
        <w:t>经投标人电子密钥加密的投标文件无须盖章或签字，</w:t>
      </w:r>
      <w:r>
        <w:rPr>
          <w:rFonts w:ascii="宋体" w:hAnsi="宋体" w:hint="eastAsia"/>
          <w:sz w:val="24"/>
        </w:rPr>
        <w:t>专用条款另有要求的除外。</w:t>
      </w:r>
    </w:p>
    <w:p>
      <w:pPr>
        <w:numPr>
          <w:ilvl w:val="1"/>
          <w:numId w:val="36"/>
        </w:numPr>
        <w:tabs>
          <w:tab w:val="left" w:pos="709"/>
        </w:tabs>
        <w:autoSpaceDE w:val="0"/>
        <w:autoSpaceDN w:val="0"/>
        <w:adjustRightInd w:val="0"/>
        <w:snapToGrid w:val="0"/>
        <w:spacing w:line="360" w:lineRule="auto"/>
        <w:rPr>
          <w:rFonts w:ascii="宋体" w:hAnsi="宋体"/>
          <w:sz w:val="24"/>
        </w:rPr>
      </w:pPr>
      <w:r>
        <w:rPr>
          <w:rFonts w:ascii="宋体" w:hAnsi="宋体" w:hint="eastAsia"/>
          <w:sz w:val="24"/>
        </w:rPr>
        <w:t>各类资格（资质）文件提供扫描件，专用条款另有要求的除外。</w:t>
      </w:r>
    </w:p>
    <w:p>
      <w:pPr>
        <w:numPr>
          <w:ilvl w:val="1"/>
          <w:numId w:val="36"/>
        </w:numPr>
        <w:tabs>
          <w:tab w:val="left" w:pos="709"/>
        </w:tabs>
        <w:autoSpaceDE w:val="0"/>
        <w:autoSpaceDN w:val="0"/>
        <w:adjustRightInd w:val="0"/>
        <w:snapToGrid w:val="0"/>
        <w:spacing w:line="360" w:lineRule="auto"/>
        <w:rPr>
          <w:sz w:val="24"/>
        </w:rPr>
      </w:pPr>
      <w:r>
        <w:rPr>
          <w:rFonts w:ascii="宋体" w:hAnsi="宋体" w:cs="宋体" w:hint="eastAsia"/>
          <w:sz w:val="24"/>
          <w:lang w:eastAsia="zh-TW"/>
        </w:rPr>
        <w:t>警示条款</w:t>
      </w:r>
      <w:r>
        <w:rPr>
          <w:rFonts w:ascii="宋体" w:hAnsi="宋体" w:cs="宋体" w:hint="eastAsia"/>
          <w:sz w:val="24"/>
        </w:rPr>
        <w:t>：</w:t>
      </w:r>
      <w:r>
        <w:rPr>
          <w:rFonts w:hint="eastAsia"/>
          <w:sz w:val="24"/>
        </w:rPr>
        <w:t>根据《中华人民共和国政府采购法》及《深圳经济特区政府采购条例》有关规定，为增强各投标人诚信守法、公平竞争意识，规范各投标人投标行为，有效遏制投标人在政府采购活动中的串标围标、造假等不诚信行为，促进政府采购市场诚信体系建设，确保政府采购工作公开、公平和公正，将依法依规对如下投标信息予以公示，望各投标人给予配合，履行好自身的权益和义务。</w:t>
      </w:r>
    </w:p>
    <w:p>
      <w:pPr>
        <w:numPr>
          <w:ilvl w:val="2"/>
          <w:numId w:val="36"/>
        </w:numPr>
        <w:autoSpaceDE w:val="0"/>
        <w:autoSpaceDN w:val="0"/>
        <w:adjustRightInd w:val="0"/>
        <w:snapToGrid w:val="0"/>
        <w:spacing w:line="360" w:lineRule="auto"/>
        <w:rPr>
          <w:rFonts w:ascii="宋体" w:hAnsi="宋体" w:cs="宋体"/>
          <w:sz w:val="24"/>
          <w:lang w:eastAsia="zh-TW"/>
        </w:rPr>
      </w:pPr>
      <w:r>
        <w:rPr>
          <w:rFonts w:ascii="宋体" w:hAnsi="宋体" w:cs="宋体" w:hint="eastAsia"/>
          <w:sz w:val="24"/>
          <w:lang w:eastAsia="zh-TW"/>
        </w:rPr>
        <w:t>公示的内容：包括但不限于营业执照等资质证明文件、开标一览表(报价表)、政府采购投标及履约承诺函、招标文件要求的其它内容或投标人认为需要加以说明的其他内容等（投标文件正文的全部内容）。</w:t>
      </w:r>
    </w:p>
    <w:p>
      <w:pPr>
        <w:numPr>
          <w:ilvl w:val="2"/>
          <w:numId w:val="36"/>
        </w:numPr>
        <w:autoSpaceDE w:val="0"/>
        <w:autoSpaceDN w:val="0"/>
        <w:adjustRightInd w:val="0"/>
        <w:snapToGrid w:val="0"/>
        <w:spacing w:line="360" w:lineRule="auto"/>
        <w:rPr>
          <w:sz w:val="24"/>
        </w:rPr>
      </w:pPr>
      <w:r>
        <w:rPr>
          <w:rFonts w:hint="eastAsia"/>
          <w:sz w:val="24"/>
        </w:rPr>
        <w:t>投标文件正文将对外公开，投标文件附件不公开。投标人在编辑投标文件时，在投标文件目录中属于本节点内容的必须在本节点中填写，填写到其他节点或附件的将可能导致投标无效，一切后果由供应商自行承担。投标文件正文（信息公开部分）必须编制于“投标书目录”部分，投标文件附件（非信息公开部分）必须编制于“投标书附件”部分，如下图所示。</w:t>
      </w:r>
    </w:p>
    <w:p>
      <w:pPr>
        <w:jc w:val="center"/>
      </w:pPr>
      <w:r>
        <w:rPr>
          <w:rFonts w:ascii="仿宋_GB2312" w:eastAsia="仿宋_GB2312"/>
        </w:rPr>
        <w:drawing>
          <wp:inline distT="0" distB="0" distL="0" distR="0">
            <wp:extent cx="5278755" cy="4126230"/>
            <wp:effectExtent l="0" t="0" r="17145" b="7620"/>
            <wp:docPr id="20" name="图片 20" descr="图形用户界面, 应用程序&#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图形用户界面, 应用程序&#10;&#10;描述已自动生成"/>
                    <pic:cNvPicPr>
                      <a:picLocks noChangeAspect="1" noChangeArrowheads="1"/>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a:xfrm>
                      <a:off x="0" y="0"/>
                      <a:ext cx="5278755" cy="4126230"/>
                    </a:xfrm>
                    <a:prstGeom prst="rect">
                      <a:avLst/>
                    </a:prstGeom>
                    <a:noFill/>
                    <a:ln>
                      <a:noFill/>
                    </a:ln>
                  </pic:spPr>
                </pic:pic>
              </a:graphicData>
            </a:graphic>
          </wp:inline>
        </w:drawing>
      </w:r>
    </w:p>
    <w:p/>
    <w:p>
      <w:pPr>
        <w:numPr>
          <w:ilvl w:val="2"/>
          <w:numId w:val="36"/>
        </w:numPr>
        <w:tabs>
          <w:tab w:val="left" w:pos="851"/>
        </w:tabs>
        <w:autoSpaceDE w:val="0"/>
        <w:autoSpaceDN w:val="0"/>
        <w:adjustRightInd w:val="0"/>
        <w:snapToGrid w:val="0"/>
        <w:spacing w:line="360" w:lineRule="auto"/>
        <w:rPr>
          <w:sz w:val="24"/>
        </w:rPr>
      </w:pPr>
      <w:r>
        <w:rPr>
          <w:rFonts w:ascii="宋体" w:hAnsi="宋体" w:cs="宋体" w:hint="eastAsia"/>
          <w:sz w:val="24"/>
        </w:rPr>
        <w:t>采购代理机构公布投标文件正文（信息公开部分）时为计算机截取信息自动公布，</w:t>
      </w:r>
      <w:r>
        <w:rPr>
          <w:rFonts w:ascii="宋体" w:hAnsi="宋体" w:cs="宋体" w:hint="eastAsia"/>
          <w:b/>
          <w:bCs/>
          <w:sz w:val="24"/>
        </w:rPr>
        <w:t>如投标人误将涉及个人隐私的信息放入投标文件正文，相关后果由投标人自负；</w:t>
      </w:r>
      <w:r>
        <w:rPr>
          <w:rFonts w:ascii="宋体" w:hAnsi="宋体" w:cs="宋体" w:hint="eastAsia"/>
          <w:sz w:val="24"/>
        </w:rPr>
        <w:t>如投标人将必须放于投标文件正文（信息公开部分）的内容放入投标文件附件（非信息公开部分），将作投标无效处理</w:t>
      </w:r>
      <w:r>
        <w:rPr>
          <w:rFonts w:hint="eastAsia"/>
          <w:sz w:val="24"/>
        </w:rPr>
        <w:t>。</w:t>
      </w:r>
    </w:p>
    <w:p>
      <w:pPr>
        <w:numPr>
          <w:ilvl w:val="2"/>
          <w:numId w:val="36"/>
        </w:numPr>
        <w:tabs>
          <w:tab w:val="left" w:pos="851"/>
        </w:tabs>
        <w:autoSpaceDE w:val="0"/>
        <w:autoSpaceDN w:val="0"/>
        <w:adjustRightInd w:val="0"/>
        <w:snapToGrid w:val="0"/>
        <w:spacing w:line="360" w:lineRule="auto"/>
        <w:rPr>
          <w:color w:val="auto"/>
          <w:sz w:val="24"/>
          <w:highlight w:val="none"/>
        </w:rPr>
      </w:pPr>
      <w:r>
        <w:rPr>
          <w:rFonts w:hint="eastAsia"/>
          <w:sz w:val="24"/>
        </w:rPr>
        <w:t>投标人对公示信息的质疑，按现规定和</w:t>
      </w:r>
      <w:r>
        <w:rPr>
          <w:rFonts w:hint="eastAsia"/>
          <w:color w:val="auto"/>
          <w:sz w:val="24"/>
          <w:highlight w:val="none"/>
        </w:rPr>
        <w:t>做法执行。望各投标人要珍惜本次投标机会，诚实、守信、依法、依规投标。</w:t>
      </w:r>
    </w:p>
    <w:p>
      <w:pPr>
        <w:numPr>
          <w:ilvl w:val="0"/>
          <w:numId w:val="36"/>
        </w:numPr>
        <w:autoSpaceDE w:val="0"/>
        <w:autoSpaceDN w:val="0"/>
        <w:adjustRightInd w:val="0"/>
        <w:snapToGrid w:val="0"/>
        <w:spacing w:line="360" w:lineRule="auto"/>
        <w:ind w:left="487" w:hanging="424" w:hangingChars="202"/>
        <w:outlineLvl w:val="3"/>
        <w:rPr>
          <w:rFonts w:ascii="宋体" w:hAnsi="宋体"/>
          <w:b/>
          <w:bCs/>
          <w:color w:val="auto"/>
          <w:sz w:val="24"/>
          <w:highlight w:val="none"/>
        </w:rPr>
      </w:pPr>
      <w:r>
        <w:rPr>
          <w:rFonts w:ascii="宋体" w:hAnsi="宋体" w:hint="eastAsia"/>
          <w:b/>
          <w:bCs/>
          <w:color w:val="auto"/>
          <w:sz w:val="24"/>
          <w:highlight w:val="none"/>
        </w:rPr>
        <w:t>投标文件的式样</w:t>
      </w:r>
    </w:p>
    <w:p>
      <w:pPr>
        <w:numPr>
          <w:ilvl w:val="1"/>
          <w:numId w:val="36"/>
        </w:numPr>
        <w:autoSpaceDE w:val="0"/>
        <w:autoSpaceDN w:val="0"/>
        <w:adjustRightInd w:val="0"/>
        <w:snapToGrid w:val="0"/>
        <w:spacing w:line="360" w:lineRule="auto"/>
        <w:rPr>
          <w:rFonts w:ascii="宋体" w:hAnsi="宋体" w:cs="黑体"/>
          <w:b/>
          <w:bCs/>
          <w:strike/>
          <w:color w:val="auto"/>
          <w:sz w:val="24"/>
          <w:highlight w:val="none"/>
        </w:rPr>
      </w:pPr>
      <w:r>
        <w:rPr>
          <w:rFonts w:ascii="宋体" w:hAnsi="宋体" w:cs="宋体" w:hint="eastAsia"/>
          <w:color w:val="auto"/>
          <w:sz w:val="24"/>
          <w:highlight w:val="none"/>
          <w:lang w:eastAsia="zh-TW"/>
        </w:rPr>
        <w:t>投标人应</w:t>
      </w:r>
      <w:r>
        <w:rPr>
          <w:rFonts w:ascii="宋体" w:hAnsi="宋体" w:cs="宋体" w:hint="eastAsia"/>
          <w:color w:val="auto"/>
          <w:sz w:val="24"/>
          <w:highlight w:val="none"/>
        </w:rPr>
        <w:t>准备</w:t>
      </w:r>
      <w:r>
        <w:rPr>
          <w:rFonts w:ascii="宋体" w:hAnsi="宋体" w:cs="宋体" w:hint="eastAsia"/>
          <w:b/>
          <w:color w:val="auto"/>
          <w:sz w:val="24"/>
          <w:highlight w:val="none"/>
          <w:lang w:eastAsia="zh-TW"/>
        </w:rPr>
        <w:t>投标须知前附表</w:t>
      </w:r>
      <w:r>
        <w:rPr>
          <w:rFonts w:ascii="宋体" w:hAnsi="宋体" w:cs="宋体" w:hint="eastAsia"/>
          <w:color w:val="auto"/>
          <w:sz w:val="24"/>
          <w:highlight w:val="none"/>
          <w:lang w:eastAsia="zh-TW"/>
        </w:rPr>
        <w:t>中规定</w:t>
      </w:r>
      <w:r>
        <w:rPr>
          <w:rFonts w:ascii="宋体" w:hAnsi="宋体" w:cs="宋体" w:hint="eastAsia"/>
          <w:color w:val="auto"/>
          <w:sz w:val="24"/>
          <w:highlight w:val="none"/>
        </w:rPr>
        <w:t>式样的投标文件。</w:t>
      </w:r>
    </w:p>
    <w:p>
      <w:pPr>
        <w:numPr>
          <w:ilvl w:val="1"/>
          <w:numId w:val="36"/>
        </w:numPr>
        <w:autoSpaceDE w:val="0"/>
        <w:autoSpaceDN w:val="0"/>
        <w:adjustRightInd w:val="0"/>
        <w:snapToGrid w:val="0"/>
        <w:spacing w:line="360" w:lineRule="auto"/>
        <w:rPr>
          <w:rFonts w:ascii="宋体" w:hAnsi="宋体" w:cs="黑体"/>
          <w:b/>
          <w:bCs/>
          <w:color w:val="auto"/>
          <w:sz w:val="24"/>
          <w:highlight w:val="none"/>
        </w:rPr>
      </w:pPr>
      <w:r>
        <w:rPr>
          <w:rFonts w:ascii="宋体" w:hAnsi="宋体" w:cs="宋体" w:hint="eastAsia"/>
          <w:color w:val="auto"/>
          <w:sz w:val="24"/>
          <w:highlight w:val="none"/>
          <w:lang w:eastAsia="zh-TW"/>
        </w:rPr>
        <w:t>投标文件的签署：除招标文件有特殊规定外，投标文件不用盖章或签字。</w:t>
      </w:r>
    </w:p>
    <w:p>
      <w:pPr>
        <w:numPr>
          <w:ilvl w:val="1"/>
          <w:numId w:val="36"/>
        </w:numPr>
        <w:autoSpaceDE w:val="0"/>
        <w:autoSpaceDN w:val="0"/>
        <w:adjustRightInd w:val="0"/>
        <w:snapToGrid w:val="0"/>
        <w:spacing w:line="360" w:lineRule="auto"/>
        <w:rPr>
          <w:rFonts w:ascii="宋体" w:hAnsi="宋体"/>
          <w:color w:val="auto"/>
          <w:sz w:val="24"/>
          <w:highlight w:val="none"/>
        </w:rPr>
      </w:pPr>
      <w:r>
        <w:rPr>
          <w:rFonts w:ascii="宋体" w:hAnsi="宋体" w:cs="宋体" w:hint="eastAsia"/>
          <w:color w:val="auto"/>
          <w:sz w:val="24"/>
          <w:highlight w:val="none"/>
          <w:lang w:eastAsia="zh-TW"/>
        </w:rPr>
        <w:t>投标文件</w:t>
      </w:r>
      <w:r>
        <w:rPr>
          <w:rFonts w:ascii="宋体" w:hAnsi="宋体" w:hint="eastAsia"/>
          <w:b/>
          <w:bCs/>
          <w:color w:val="auto"/>
          <w:sz w:val="24"/>
          <w:highlight w:val="none"/>
        </w:rPr>
        <w:t>密封</w:t>
      </w:r>
      <w:r>
        <w:rPr>
          <w:rFonts w:ascii="宋体" w:hAnsi="宋体" w:cs="宋体" w:hint="eastAsia"/>
          <w:color w:val="auto"/>
          <w:sz w:val="24"/>
          <w:highlight w:val="none"/>
          <w:lang w:eastAsia="zh-TW"/>
        </w:rPr>
        <w:t>：</w:t>
      </w:r>
    </w:p>
    <w:p>
      <w:pPr>
        <w:numPr>
          <w:ilvl w:val="2"/>
          <w:numId w:val="36"/>
        </w:numPr>
        <w:autoSpaceDE w:val="0"/>
        <w:autoSpaceDN w:val="0"/>
        <w:adjustRightInd w:val="0"/>
        <w:snapToGrid w:val="0"/>
        <w:spacing w:line="360" w:lineRule="auto"/>
        <w:rPr>
          <w:sz w:val="24"/>
        </w:rPr>
      </w:pPr>
      <w:r>
        <w:rPr>
          <w:rFonts w:hint="eastAsia"/>
          <w:color w:val="auto"/>
          <w:sz w:val="24"/>
          <w:highlight w:val="none"/>
        </w:rPr>
        <w:t>在投标文件制作完成后，在投标文件制作软件点</w:t>
      </w:r>
      <w:r>
        <w:rPr>
          <w:rFonts w:hint="eastAsia"/>
          <w:sz w:val="24"/>
        </w:rPr>
        <w:t>击【生成标书】按钮进入【填写开标一览表界面】界面，在该界面填写完开标一览表信息后点击【确定】，进入投标文件生成环节。投标文件制作软件会在投标文件生成过程中，提示用户输入密码，输入密码后对标文件自动进行加密，此加密程序确保投标文件在到达开标时间后才能解密查看。在加密过程中，请按照软件提示进行操作。加密操作界面如下图所示：</w:t>
      </w:r>
    </w:p>
    <w:p>
      <w:pPr>
        <w:jc w:val="left"/>
        <w:rPr>
          <w:rFonts w:ascii="宋体" w:hAnsi="宋体"/>
        </w:rPr>
      </w:pPr>
      <w:r>
        <w:drawing>
          <wp:inline distT="0" distB="0" distL="0" distR="0">
            <wp:extent cx="5278755" cy="2721610"/>
            <wp:effectExtent l="0" t="0" r="17145" b="2540"/>
            <wp:docPr id="14" name="图片 14" descr="图形用户界面, 应用程序&#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图形用户界面, 应用程序&#10;&#10;描述已自动生成"/>
                    <pic:cNvPicPr>
                      <a:picLocks noChangeAspect="1" noChangeArrowheads="1"/>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5278755" cy="2721610"/>
                    </a:xfrm>
                    <a:prstGeom prst="rect">
                      <a:avLst/>
                    </a:prstGeom>
                    <a:noFill/>
                    <a:ln>
                      <a:noFill/>
                    </a:ln>
                  </pic:spPr>
                </pic:pic>
              </a:graphicData>
            </a:graphic>
          </wp:inline>
        </w:drawing>
      </w:r>
    </w:p>
    <w:p>
      <w:pPr>
        <w:pStyle w:val="ListParagraph"/>
        <w:spacing w:line="360" w:lineRule="auto"/>
        <w:ind w:left="425" w:firstLine="0" w:firstLineChars="0"/>
        <w:rPr>
          <w:rFonts w:ascii="宋体" w:hAnsi="宋体"/>
        </w:rPr>
      </w:pPr>
      <w:r>
        <w:rPr>
          <w:rFonts w:hint="eastAsia"/>
          <w:sz w:val="24"/>
        </w:rPr>
        <w:t>在投标文件制作软件点击【生成标书】按钮进入【填写开标一览表界面】界面，在该界面填写完开标一览表信息后点击【确定】，进入投标文件生成环节。</w:t>
      </w:r>
      <w:r>
        <w:drawing>
          <wp:inline distT="0" distB="0" distL="0" distR="0">
            <wp:extent cx="5278755" cy="2732405"/>
            <wp:effectExtent l="0" t="0" r="17145" b="10795"/>
            <wp:docPr id="19" name="图片 19" descr="图形用户界面&#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图形用户界面&#10;&#10;描述已自动生成"/>
                    <pic:cNvPicPr>
                      <a:picLocks noChangeAspect="1" noChangeArrowheads="1"/>
                    </pic:cNvPicPr>
                  </pic:nvPicPr>
                  <pic:blipFill>
                    <a:blip xmlns:r="http://schemas.openxmlformats.org/officeDocument/2006/relationships" r:embed="rId14" cstate="print">
                      <a:extLst>
                        <a:ext xmlns:a="http://schemas.openxmlformats.org/drawingml/2006/main" uri="{28A0092B-C50C-407E-A947-70E740481C1C}">
                          <a14:useLocalDpi xmlns:a14="http://schemas.microsoft.com/office/drawing/2010/main" val="0"/>
                        </a:ext>
                      </a:extLst>
                    </a:blip>
                    <a:stretch>
                      <a:fillRect/>
                    </a:stretch>
                  </pic:blipFill>
                  <pic:spPr>
                    <a:xfrm>
                      <a:off x="0" y="0"/>
                      <a:ext cx="5278755" cy="2732405"/>
                    </a:xfrm>
                    <a:prstGeom prst="rect">
                      <a:avLst/>
                    </a:prstGeom>
                    <a:noFill/>
                    <a:ln>
                      <a:noFill/>
                    </a:ln>
                  </pic:spPr>
                </pic:pic>
              </a:graphicData>
            </a:graphic>
          </wp:inline>
        </w:drawing>
      </w:r>
    </w:p>
    <w:p>
      <w:pPr>
        <w:pStyle w:val="ListParagraph"/>
        <w:spacing w:line="360" w:lineRule="auto"/>
        <w:ind w:left="425" w:firstLine="0" w:firstLineChars="0"/>
        <w:rPr>
          <w:sz w:val="24"/>
        </w:rPr>
      </w:pPr>
      <w:r>
        <w:rPr>
          <w:rFonts w:hint="eastAsia"/>
          <w:sz w:val="24"/>
        </w:rPr>
        <w:t>投标文件制作软件会在投标文件生成过程中，提示用户输入密码，输入密码后对标文件自动进行加密。</w:t>
      </w:r>
    </w:p>
    <w:p>
      <w:pPr>
        <w:numPr>
          <w:ilvl w:val="2"/>
          <w:numId w:val="36"/>
        </w:numPr>
        <w:autoSpaceDE w:val="0"/>
        <w:autoSpaceDN w:val="0"/>
        <w:adjustRightInd w:val="0"/>
        <w:snapToGrid w:val="0"/>
        <w:spacing w:line="360" w:lineRule="auto"/>
        <w:rPr>
          <w:b/>
          <w:bCs/>
          <w:sz w:val="24"/>
        </w:rPr>
      </w:pPr>
      <w:r>
        <w:rPr>
          <w:rFonts w:hint="eastAsia"/>
          <w:b/>
          <w:bCs/>
          <w:sz w:val="24"/>
        </w:rPr>
        <w:t>若采购项目出现延期情况：</w:t>
      </w:r>
    </w:p>
    <w:p>
      <w:pPr>
        <w:pStyle w:val="ListParagraph"/>
        <w:spacing w:line="360" w:lineRule="auto"/>
        <w:ind w:left="425" w:firstLine="0" w:firstLineChars="0"/>
        <w:rPr>
          <w:sz w:val="24"/>
        </w:rPr>
      </w:pPr>
      <w:r>
        <w:rPr>
          <w:rFonts w:hint="eastAsia"/>
          <w:sz w:val="24"/>
        </w:rPr>
        <w:t>如果供下载的招标文件（后缀名为.</w:t>
      </w:r>
      <w:r>
        <w:rPr>
          <w:sz w:val="24"/>
        </w:rPr>
        <w:t>szczf</w:t>
      </w:r>
      <w:r>
        <w:rPr>
          <w:rFonts w:hint="eastAsia"/>
          <w:sz w:val="24"/>
        </w:rPr>
        <w:t>）有更新，投标人必须重新下载招标文件、重新制作投标文件、重新加密投标文件、重新上传投标文件；如果供下载的招标文件（后缀名为.</w:t>
      </w:r>
      <w:r>
        <w:rPr>
          <w:sz w:val="24"/>
        </w:rPr>
        <w:t>szczf</w:t>
      </w:r>
      <w:r>
        <w:rPr>
          <w:rFonts w:hint="eastAsia"/>
          <w:sz w:val="24"/>
        </w:rPr>
        <w:t>）没有更新，投标人必须重新加密投标文件、重新上传投标文件（是否重新制作投标文件根据项目实际情况定）。否则，投标人自行承担投标文件无法解密导致投标无效的后果。</w:t>
      </w:r>
    </w:p>
    <w:p>
      <w:pPr>
        <w:numPr>
          <w:ilvl w:val="0"/>
          <w:numId w:val="36"/>
        </w:numPr>
        <w:autoSpaceDE w:val="0"/>
        <w:autoSpaceDN w:val="0"/>
        <w:adjustRightInd w:val="0"/>
        <w:snapToGrid w:val="0"/>
        <w:spacing w:line="360" w:lineRule="auto"/>
        <w:ind w:left="487" w:hanging="424" w:hangingChars="202"/>
        <w:outlineLvl w:val="3"/>
        <w:rPr>
          <w:rFonts w:ascii="宋体" w:hAnsi="宋体"/>
          <w:b/>
          <w:bCs/>
          <w:sz w:val="24"/>
        </w:rPr>
      </w:pPr>
      <w:r>
        <w:rPr>
          <w:rFonts w:ascii="宋体" w:hAnsi="宋体" w:hint="eastAsia"/>
          <w:b/>
          <w:bCs/>
          <w:sz w:val="24"/>
        </w:rPr>
        <w:t>投标报价</w:t>
      </w:r>
    </w:p>
    <w:p>
      <w:pPr>
        <w:numPr>
          <w:ilvl w:val="1"/>
          <w:numId w:val="37"/>
        </w:numPr>
        <w:autoSpaceDE w:val="0"/>
        <w:autoSpaceDN w:val="0"/>
        <w:adjustRightInd w:val="0"/>
        <w:snapToGrid w:val="0"/>
        <w:spacing w:line="360" w:lineRule="auto"/>
        <w:rPr>
          <w:rFonts w:ascii="宋体" w:hAnsi="宋体" w:cs="黑体"/>
          <w:b/>
          <w:bCs/>
          <w:sz w:val="24"/>
        </w:rPr>
      </w:pPr>
      <w:r>
        <w:rPr>
          <w:rFonts w:ascii="宋体" w:hAnsi="宋体" w:cs="宋体" w:hint="eastAsia"/>
          <w:sz w:val="24"/>
          <w:lang w:eastAsia="zh-TW"/>
        </w:rPr>
        <w:t>投标人应按照“用户需求书”</w:t>
      </w:r>
      <w:r>
        <w:rPr>
          <w:rFonts w:ascii="宋体" w:hAnsi="宋体" w:cs="宋体" w:hint="eastAsia"/>
          <w:sz w:val="24"/>
        </w:rPr>
        <w:t>中</w:t>
      </w:r>
      <w:r>
        <w:rPr>
          <w:rFonts w:ascii="宋体" w:hAnsi="宋体" w:cs="宋体" w:hint="eastAsia"/>
          <w:sz w:val="24"/>
          <w:lang w:eastAsia="zh-TW"/>
        </w:rPr>
        <w:t>采购项目技术规格、参数及要求规定的内容、责任范围进行报价。并按《</w:t>
      </w:r>
      <w:r>
        <w:rPr>
          <w:rFonts w:ascii="宋体" w:hAnsi="宋体" w:cs="宋体" w:hint="eastAsia"/>
          <w:sz w:val="24"/>
        </w:rPr>
        <w:t>开标一览表(报价表)</w:t>
      </w:r>
      <w:r>
        <w:rPr>
          <w:rFonts w:ascii="宋体" w:hAnsi="宋体" w:cs="宋体" w:hint="eastAsia"/>
          <w:sz w:val="24"/>
          <w:lang w:eastAsia="zh-TW"/>
        </w:rPr>
        <w:t>》</w:t>
      </w:r>
      <w:r>
        <w:rPr>
          <w:rFonts w:ascii="宋体" w:hAnsi="宋体" w:cs="宋体" w:hint="eastAsia"/>
          <w:sz w:val="24"/>
        </w:rPr>
        <w:t>及</w:t>
      </w:r>
      <w:r>
        <w:rPr>
          <w:rFonts w:ascii="宋体" w:hAnsi="宋体" w:cs="宋体" w:hint="eastAsia"/>
          <w:sz w:val="24"/>
          <w:lang w:eastAsia="zh-TW"/>
        </w:rPr>
        <w:t>《投标分项报价表》（如适用）的</w:t>
      </w:r>
      <w:r>
        <w:rPr>
          <w:rFonts w:ascii="宋体" w:hAnsi="宋体" w:cs="宋体" w:hint="eastAsia"/>
          <w:sz w:val="24"/>
        </w:rPr>
        <w:t>要求</w:t>
      </w:r>
      <w:r>
        <w:rPr>
          <w:rFonts w:ascii="宋体" w:hAnsi="宋体" w:cs="宋体" w:hint="eastAsia"/>
          <w:sz w:val="24"/>
          <w:lang w:eastAsia="zh-TW"/>
        </w:rPr>
        <w:t>报出总价和分项价格。</w:t>
      </w:r>
      <w:r>
        <w:rPr>
          <w:rFonts w:ascii="宋体" w:hAnsi="宋体" w:cs="宋体" w:hint="eastAsia"/>
          <w:sz w:val="24"/>
        </w:rPr>
        <w:t>投标人</w:t>
      </w:r>
      <w:r>
        <w:rPr>
          <w:rFonts w:ascii="宋体" w:hAnsi="宋体" w:cs="宋体" w:hint="eastAsia"/>
          <w:sz w:val="24"/>
          <w:lang w:eastAsia="zh-TW"/>
        </w:rPr>
        <w:t>按</w:t>
      </w:r>
      <w:r>
        <w:rPr>
          <w:rFonts w:ascii="宋体" w:hAnsi="宋体" w:cs="宋体" w:hint="eastAsia"/>
          <w:sz w:val="24"/>
        </w:rPr>
        <w:t>招标</w:t>
      </w:r>
      <w:r>
        <w:rPr>
          <w:rFonts w:ascii="宋体" w:hAnsi="宋体" w:cs="宋体" w:hint="eastAsia"/>
          <w:sz w:val="24"/>
          <w:lang w:eastAsia="zh-TW"/>
        </w:rPr>
        <w:t>文件的要求报出全部货物及服务内容所需的所有费用，</w:t>
      </w:r>
      <w:r>
        <w:rPr>
          <w:rFonts w:asciiTheme="minorEastAsia" w:eastAsiaTheme="minorEastAsia" w:hAnsiTheme="minorEastAsia" w:cs="宋体" w:hint="eastAsia"/>
          <w:sz w:val="24"/>
        </w:rPr>
        <w:t>在合同履行过程中，采购人不再支付除合同金额以外的费用。</w:t>
      </w:r>
    </w:p>
    <w:p>
      <w:pPr>
        <w:numPr>
          <w:ilvl w:val="1"/>
          <w:numId w:val="37"/>
        </w:numPr>
        <w:autoSpaceDE w:val="0"/>
        <w:autoSpaceDN w:val="0"/>
        <w:adjustRightInd w:val="0"/>
        <w:snapToGrid w:val="0"/>
        <w:spacing w:line="360" w:lineRule="auto"/>
        <w:rPr>
          <w:rFonts w:ascii="宋体" w:hAnsi="宋体" w:cs="宋体"/>
          <w:color w:val="00B0F0"/>
          <w:sz w:val="24"/>
          <w:lang w:eastAsia="zh-TW"/>
        </w:rPr>
      </w:pPr>
      <w:r>
        <w:rPr>
          <w:rFonts w:ascii="宋体" w:hAnsi="宋体" w:cs="宋体" w:hint="eastAsia"/>
          <w:sz w:val="24"/>
          <w:lang w:eastAsia="zh-TW"/>
        </w:rPr>
        <w:t>投标报价应包含按招标文件的要求全部货物及服务内容所需的所有费用，</w:t>
      </w:r>
      <w:r>
        <w:rPr>
          <w:rFonts w:ascii="宋体" w:hAnsi="宋体" w:cs="宋体"/>
          <w:sz w:val="24"/>
          <w:lang w:eastAsia="zh-TW"/>
        </w:rPr>
        <w:t>包括但不限于</w:t>
      </w:r>
      <w:r>
        <w:rPr>
          <w:rFonts w:ascii="宋体" w:hAnsi="宋体" w:cs="宋体" w:hint="eastAsia"/>
          <w:b/>
          <w:sz w:val="24"/>
          <w:lang w:eastAsia="zh-TW"/>
        </w:rPr>
        <w:t>投标人须知前附表</w:t>
      </w:r>
      <w:r>
        <w:rPr>
          <w:rFonts w:ascii="宋体" w:hAnsi="宋体" w:cs="宋体" w:hint="eastAsia"/>
          <w:sz w:val="24"/>
          <w:lang w:eastAsia="zh-TW"/>
        </w:rPr>
        <w:t>中规定的。</w:t>
      </w:r>
    </w:p>
    <w:p>
      <w:pPr>
        <w:numPr>
          <w:ilvl w:val="1"/>
          <w:numId w:val="37"/>
        </w:numPr>
        <w:autoSpaceDE w:val="0"/>
        <w:autoSpaceDN w:val="0"/>
        <w:adjustRightInd w:val="0"/>
        <w:snapToGrid w:val="0"/>
        <w:spacing w:line="360" w:lineRule="auto"/>
        <w:rPr>
          <w:rFonts w:ascii="宋体" w:hAnsi="宋体" w:cs="宋体"/>
          <w:sz w:val="24"/>
        </w:rPr>
      </w:pPr>
      <w:r>
        <w:rPr>
          <w:rFonts w:ascii="宋体" w:hAnsi="宋体" w:cs="宋体" w:hint="eastAsia"/>
          <w:sz w:val="24"/>
          <w:lang w:eastAsia="zh-TW"/>
        </w:rPr>
        <w:t>投标人所报的投标价在合同执行过程中是固定不变的</w:t>
      </w:r>
      <w:r>
        <w:rPr>
          <w:rFonts w:ascii="宋体" w:hAnsi="宋体" w:cs="宋体" w:hint="eastAsia"/>
          <w:sz w:val="24"/>
        </w:rPr>
        <w:t>，</w:t>
      </w:r>
      <w:r>
        <w:rPr>
          <w:rFonts w:ascii="宋体" w:hAnsi="宋体" w:cs="宋体" w:hint="eastAsia"/>
          <w:sz w:val="24"/>
          <w:lang w:eastAsia="zh-TW"/>
        </w:rPr>
        <w:t>不得以任何理由予以变更。任何包含价格调整要求的投标被认为是非实质性响应投标而予以拒绝。</w:t>
      </w:r>
    </w:p>
    <w:p>
      <w:pPr>
        <w:numPr>
          <w:ilvl w:val="1"/>
          <w:numId w:val="37"/>
        </w:numPr>
        <w:autoSpaceDE w:val="0"/>
        <w:autoSpaceDN w:val="0"/>
        <w:adjustRightInd w:val="0"/>
        <w:snapToGrid w:val="0"/>
        <w:spacing w:line="360" w:lineRule="auto"/>
        <w:rPr>
          <w:rFonts w:ascii="宋体" w:hAnsi="宋体" w:cs="宋体"/>
          <w:b/>
          <w:strike/>
          <w:color w:val="00B0F0"/>
          <w:sz w:val="24"/>
          <w:lang w:eastAsia="zh-TW"/>
        </w:rPr>
      </w:pPr>
      <w:r>
        <w:rPr>
          <w:rFonts w:ascii="宋体" w:hAnsi="宋体" w:hint="eastAsia"/>
          <w:sz w:val="24"/>
        </w:rPr>
        <w:t>除</w:t>
      </w:r>
      <w:r>
        <w:rPr>
          <w:rFonts w:ascii="宋体" w:hAnsi="宋体" w:cs="宋体" w:hint="eastAsia"/>
          <w:b/>
          <w:sz w:val="24"/>
          <w:lang w:eastAsia="zh-TW"/>
        </w:rPr>
        <w:t>投标人须知前附表</w:t>
      </w:r>
      <w:r>
        <w:rPr>
          <w:rFonts w:ascii="宋体" w:hAnsi="宋体" w:hint="eastAsia"/>
          <w:sz w:val="24"/>
        </w:rPr>
        <w:t>中允许有备选方案外，本次招标不接受选择性报价，</w:t>
      </w:r>
      <w:r>
        <w:rPr>
          <w:rFonts w:ascii="宋体" w:hAnsi="宋体" w:cs="宋体" w:hint="eastAsia"/>
          <w:sz w:val="24"/>
        </w:rPr>
        <w:t>否则将被视为</w:t>
      </w:r>
      <w:r>
        <w:rPr>
          <w:rFonts w:ascii="宋体" w:hAnsi="宋体" w:cs="宋体" w:hint="eastAsia"/>
          <w:b/>
          <w:sz w:val="24"/>
        </w:rPr>
        <w:t>无效投标</w:t>
      </w:r>
      <w:r>
        <w:rPr>
          <w:rFonts w:ascii="宋体" w:hAnsi="宋体" w:cs="宋体" w:hint="eastAsia"/>
          <w:sz w:val="24"/>
        </w:rPr>
        <w:t>。</w:t>
      </w:r>
    </w:p>
    <w:p>
      <w:pPr>
        <w:numPr>
          <w:ilvl w:val="1"/>
          <w:numId w:val="37"/>
        </w:numPr>
        <w:autoSpaceDE w:val="0"/>
        <w:autoSpaceDN w:val="0"/>
        <w:adjustRightInd w:val="0"/>
        <w:snapToGrid w:val="0"/>
        <w:spacing w:line="360" w:lineRule="auto"/>
        <w:rPr>
          <w:rFonts w:ascii="宋体" w:hAnsi="宋体" w:cs="宋体"/>
          <w:sz w:val="24"/>
          <w:lang w:eastAsia="zh-TW"/>
        </w:rPr>
      </w:pPr>
      <w:r>
        <w:rPr>
          <w:rFonts w:ascii="宋体" w:hAnsi="宋体" w:hint="eastAsia"/>
          <w:sz w:val="24"/>
        </w:rPr>
        <w:t>本次招标不接受具有附加条件的报价，</w:t>
      </w:r>
      <w:r>
        <w:rPr>
          <w:rFonts w:ascii="宋体" w:hAnsi="宋体" w:cs="宋体" w:hint="eastAsia"/>
          <w:sz w:val="24"/>
        </w:rPr>
        <w:t>否则将被视为</w:t>
      </w:r>
      <w:r>
        <w:rPr>
          <w:rFonts w:ascii="宋体" w:hAnsi="宋体" w:cs="宋体" w:hint="eastAsia"/>
          <w:b/>
          <w:sz w:val="24"/>
        </w:rPr>
        <w:t>无效投标</w:t>
      </w:r>
      <w:r>
        <w:rPr>
          <w:rFonts w:ascii="宋体" w:hAnsi="宋体" w:cs="宋体" w:hint="eastAsia"/>
          <w:sz w:val="24"/>
        </w:rPr>
        <w:t>。</w:t>
      </w:r>
    </w:p>
    <w:p>
      <w:pPr>
        <w:numPr>
          <w:ilvl w:val="0"/>
          <w:numId w:val="36"/>
        </w:numPr>
        <w:autoSpaceDE w:val="0"/>
        <w:autoSpaceDN w:val="0"/>
        <w:adjustRightInd w:val="0"/>
        <w:snapToGrid w:val="0"/>
        <w:spacing w:line="360" w:lineRule="auto"/>
        <w:ind w:left="487" w:hanging="424" w:hangingChars="202"/>
        <w:outlineLvl w:val="3"/>
        <w:rPr>
          <w:rFonts w:ascii="宋体" w:hAnsi="宋体"/>
          <w:b/>
          <w:bCs/>
          <w:sz w:val="24"/>
        </w:rPr>
      </w:pPr>
      <w:r>
        <w:rPr>
          <w:rFonts w:ascii="宋体" w:hAnsi="宋体" w:hint="eastAsia"/>
          <w:b/>
          <w:bCs/>
          <w:sz w:val="24"/>
        </w:rPr>
        <w:t>投标货币</w:t>
      </w:r>
    </w:p>
    <w:p>
      <w:pPr>
        <w:numPr>
          <w:ilvl w:val="1"/>
          <w:numId w:val="38"/>
        </w:numPr>
        <w:autoSpaceDE w:val="0"/>
        <w:autoSpaceDN w:val="0"/>
        <w:adjustRightInd w:val="0"/>
        <w:snapToGrid w:val="0"/>
        <w:spacing w:line="360" w:lineRule="auto"/>
        <w:rPr>
          <w:rFonts w:ascii="宋体" w:hAnsi="宋体"/>
          <w:sz w:val="24"/>
        </w:rPr>
      </w:pPr>
      <w:r>
        <w:rPr>
          <w:rFonts w:ascii="宋体" w:hAnsi="宋体" w:hint="eastAsia"/>
          <w:sz w:val="24"/>
        </w:rPr>
        <w:t>投标人所提供的货物和服务均应以人民币报价。</w:t>
      </w:r>
    </w:p>
    <w:p>
      <w:pPr>
        <w:numPr>
          <w:ilvl w:val="0"/>
          <w:numId w:val="36"/>
        </w:numPr>
        <w:autoSpaceDE w:val="0"/>
        <w:autoSpaceDN w:val="0"/>
        <w:adjustRightInd w:val="0"/>
        <w:snapToGrid w:val="0"/>
        <w:spacing w:line="360" w:lineRule="auto"/>
        <w:ind w:left="487" w:hanging="424" w:hangingChars="202"/>
        <w:outlineLvl w:val="3"/>
        <w:rPr>
          <w:rFonts w:ascii="宋体" w:hAnsi="宋体"/>
          <w:b/>
          <w:bCs/>
          <w:sz w:val="24"/>
        </w:rPr>
      </w:pPr>
      <w:r>
        <w:rPr>
          <w:rFonts w:ascii="宋体" w:hAnsi="宋体" w:hint="eastAsia"/>
          <w:b/>
          <w:bCs/>
          <w:sz w:val="24"/>
        </w:rPr>
        <w:t>联合体投标</w:t>
      </w:r>
    </w:p>
    <w:p>
      <w:pPr>
        <w:numPr>
          <w:ilvl w:val="1"/>
          <w:numId w:val="39"/>
        </w:numPr>
        <w:autoSpaceDE w:val="0"/>
        <w:autoSpaceDN w:val="0"/>
        <w:adjustRightInd w:val="0"/>
        <w:snapToGrid w:val="0"/>
        <w:spacing w:line="360" w:lineRule="auto"/>
        <w:rPr>
          <w:rFonts w:ascii="宋体" w:hAnsi="宋体" w:cs="黑体"/>
          <w:b/>
          <w:bCs/>
          <w:sz w:val="24"/>
        </w:rPr>
      </w:pPr>
      <w:r>
        <w:rPr>
          <w:rFonts w:ascii="宋体" w:hAnsi="宋体" w:hint="eastAsia"/>
          <w:sz w:val="24"/>
        </w:rPr>
        <w:t>除非</w:t>
      </w:r>
      <w:r>
        <w:rPr>
          <w:rFonts w:ascii="宋体" w:hAnsi="宋体" w:hint="eastAsia"/>
          <w:b/>
          <w:sz w:val="24"/>
        </w:rPr>
        <w:t>投标邀请</w:t>
      </w:r>
      <w:r>
        <w:rPr>
          <w:rFonts w:ascii="宋体" w:hAnsi="宋体" w:hint="eastAsia"/>
          <w:sz w:val="24"/>
        </w:rPr>
        <w:t>中另有规定，不接受联合体投标。如果投标邀请中规定允许联合体投标的，则必须满足：</w:t>
      </w:r>
    </w:p>
    <w:p>
      <w:pPr>
        <w:numPr>
          <w:ilvl w:val="2"/>
          <w:numId w:val="39"/>
        </w:numPr>
        <w:autoSpaceDE w:val="0"/>
        <w:autoSpaceDN w:val="0"/>
        <w:adjustRightInd w:val="0"/>
        <w:snapToGrid w:val="0"/>
        <w:spacing w:line="360" w:lineRule="auto"/>
        <w:rPr>
          <w:rFonts w:ascii="宋体" w:hAnsi="宋体"/>
          <w:sz w:val="24"/>
        </w:rPr>
      </w:pPr>
      <w:r>
        <w:rPr>
          <w:rFonts w:ascii="宋体" w:hAnsi="宋体" w:hint="eastAsia"/>
          <w:sz w:val="24"/>
        </w:rPr>
        <w:t>以联合体形式参加投标的，联合体各方均必须符合</w:t>
      </w:r>
      <w:r>
        <w:rPr>
          <w:rFonts w:ascii="宋体" w:hAnsi="宋体" w:hint="eastAsia"/>
          <w:bCs/>
          <w:sz w:val="24"/>
        </w:rPr>
        <w:t>《中华人民共和国政府采购法》第二十二条第（一）至（六）项规定。</w:t>
      </w:r>
    </w:p>
    <w:p>
      <w:pPr>
        <w:numPr>
          <w:ilvl w:val="2"/>
          <w:numId w:val="39"/>
        </w:numPr>
        <w:autoSpaceDE w:val="0"/>
        <w:autoSpaceDN w:val="0"/>
        <w:adjustRightInd w:val="0"/>
        <w:snapToGrid w:val="0"/>
        <w:spacing w:line="360" w:lineRule="auto"/>
        <w:rPr>
          <w:rFonts w:ascii="宋体" w:hAnsi="宋体"/>
          <w:sz w:val="24"/>
        </w:rPr>
      </w:pPr>
      <w:r>
        <w:rPr>
          <w:rFonts w:ascii="宋体" w:hAnsi="宋体" w:hint="eastAsia"/>
          <w:sz w:val="24"/>
        </w:rPr>
        <w:t>联合体投标的，必须提供各方签订的联合投标协议，明确约定各方承担的工作和相应的责任。联合体各方签订</w:t>
      </w:r>
      <w:r>
        <w:rPr>
          <w:rFonts w:ascii="宋体" w:hAnsi="宋体" w:hint="eastAsia"/>
          <w:sz w:val="24"/>
          <w:lang w:eastAsia="zh-CN"/>
        </w:rPr>
        <w:t>联合协议书</w:t>
      </w:r>
      <w:r>
        <w:rPr>
          <w:rFonts w:ascii="宋体" w:hAnsi="宋体" w:hint="eastAsia"/>
          <w:sz w:val="24"/>
        </w:rPr>
        <w:t>，不得再以自己名义单独在</w:t>
      </w:r>
      <w:r>
        <w:rPr>
          <w:rFonts w:asciiTheme="minorEastAsia" w:eastAsiaTheme="minorEastAsia" w:hAnsiTheme="minorEastAsia" w:cs="宋体" w:hint="eastAsia"/>
          <w:bCs/>
          <w:kern w:val="0"/>
          <w:sz w:val="24"/>
        </w:rPr>
        <w:t>本项目同一合同项下</w:t>
      </w:r>
      <w:r>
        <w:rPr>
          <w:rFonts w:ascii="宋体" w:hAnsi="宋体" w:hint="eastAsia"/>
          <w:sz w:val="24"/>
        </w:rPr>
        <w:t>的投标，也不得组成新的联合体参加</w:t>
      </w:r>
      <w:r>
        <w:rPr>
          <w:rFonts w:asciiTheme="minorEastAsia" w:eastAsiaTheme="minorEastAsia" w:hAnsiTheme="minorEastAsia" w:cs="宋体" w:hint="eastAsia"/>
          <w:bCs/>
          <w:kern w:val="0"/>
          <w:sz w:val="24"/>
        </w:rPr>
        <w:t>本项目同一合同项下的</w:t>
      </w:r>
      <w:r>
        <w:rPr>
          <w:rFonts w:ascii="宋体" w:hAnsi="宋体" w:hint="eastAsia"/>
          <w:sz w:val="24"/>
        </w:rPr>
        <w:t>投标。</w:t>
      </w:r>
    </w:p>
    <w:p>
      <w:pPr>
        <w:numPr>
          <w:ilvl w:val="2"/>
          <w:numId w:val="39"/>
        </w:numPr>
        <w:autoSpaceDE w:val="0"/>
        <w:autoSpaceDN w:val="0"/>
        <w:adjustRightInd w:val="0"/>
        <w:snapToGrid w:val="0"/>
        <w:spacing w:line="360" w:lineRule="auto"/>
        <w:rPr>
          <w:rFonts w:ascii="宋体" w:hAnsi="宋体"/>
          <w:sz w:val="24"/>
        </w:rPr>
      </w:pPr>
      <w:r>
        <w:rPr>
          <w:rFonts w:ascii="宋体" w:hAnsi="宋体" w:hint="eastAsia"/>
          <w:sz w:val="24"/>
        </w:rPr>
        <w:t>联合体中有同类资质的供应商按照联合体分工承担相同工作的，应当按照资质等级较低的供应商确定资质等级。</w:t>
      </w:r>
    </w:p>
    <w:p>
      <w:pPr>
        <w:numPr>
          <w:ilvl w:val="1"/>
          <w:numId w:val="39"/>
        </w:numPr>
        <w:autoSpaceDE w:val="0"/>
        <w:autoSpaceDN w:val="0"/>
        <w:adjustRightInd w:val="0"/>
        <w:snapToGrid w:val="0"/>
        <w:spacing w:line="360" w:lineRule="auto"/>
        <w:rPr>
          <w:rFonts w:ascii="宋体" w:hAnsi="宋体"/>
          <w:sz w:val="24"/>
        </w:rPr>
      </w:pPr>
      <w:r>
        <w:rPr>
          <w:rFonts w:ascii="宋体" w:hAnsi="宋体"/>
          <w:sz w:val="24"/>
        </w:rPr>
        <w:t>联合体中标的，联合体各方应当共同与</w:t>
      </w:r>
      <w:r>
        <w:rPr>
          <w:rFonts w:ascii="宋体" w:hAnsi="宋体" w:hint="eastAsia"/>
          <w:sz w:val="24"/>
        </w:rPr>
        <w:t>采购</w:t>
      </w:r>
      <w:r>
        <w:rPr>
          <w:rFonts w:ascii="宋体" w:hAnsi="宋体"/>
          <w:sz w:val="24"/>
        </w:rPr>
        <w:t>人签订合同。</w:t>
      </w:r>
    </w:p>
    <w:p>
      <w:pPr>
        <w:numPr>
          <w:ilvl w:val="0"/>
          <w:numId w:val="36"/>
        </w:numPr>
        <w:autoSpaceDE w:val="0"/>
        <w:autoSpaceDN w:val="0"/>
        <w:adjustRightInd w:val="0"/>
        <w:snapToGrid w:val="0"/>
        <w:spacing w:line="360" w:lineRule="auto"/>
        <w:ind w:left="487" w:hanging="424" w:hangingChars="202"/>
        <w:outlineLvl w:val="3"/>
        <w:rPr>
          <w:rFonts w:ascii="宋体" w:hAnsi="宋体"/>
          <w:b/>
          <w:bCs/>
          <w:sz w:val="24"/>
        </w:rPr>
      </w:pPr>
      <w:r>
        <w:rPr>
          <w:rFonts w:ascii="宋体" w:hAnsi="宋体" w:hint="eastAsia"/>
          <w:b/>
          <w:bCs/>
          <w:sz w:val="24"/>
        </w:rPr>
        <w:t>证明投标人合格和资格的文件</w:t>
      </w:r>
    </w:p>
    <w:p>
      <w:pPr>
        <w:numPr>
          <w:ilvl w:val="1"/>
          <w:numId w:val="40"/>
        </w:numPr>
        <w:autoSpaceDE w:val="0"/>
        <w:autoSpaceDN w:val="0"/>
        <w:adjustRightInd w:val="0"/>
        <w:snapToGrid w:val="0"/>
        <w:spacing w:line="360" w:lineRule="auto"/>
        <w:rPr>
          <w:rFonts w:ascii="宋体" w:hAnsi="宋体" w:cs="黑体"/>
          <w:b/>
          <w:bCs/>
          <w:sz w:val="24"/>
        </w:rPr>
      </w:pPr>
      <w:r>
        <w:rPr>
          <w:rFonts w:ascii="宋体" w:hAnsi="宋体" w:cs="宋体" w:hint="eastAsia"/>
          <w:sz w:val="24"/>
          <w:lang w:eastAsia="zh-TW"/>
        </w:rPr>
        <w:t>投标人应提交证明其有资格参加投标和中标后有能力履行合同的文件</w:t>
      </w:r>
      <w:r>
        <w:rPr>
          <w:rFonts w:ascii="宋体" w:hAnsi="宋体" w:cs="宋体" w:hint="eastAsia"/>
          <w:sz w:val="24"/>
        </w:rPr>
        <w:t>，</w:t>
      </w:r>
      <w:r>
        <w:rPr>
          <w:rFonts w:ascii="宋体" w:hAnsi="宋体" w:cs="宋体" w:hint="eastAsia"/>
          <w:sz w:val="24"/>
          <w:lang w:eastAsia="zh-TW"/>
        </w:rPr>
        <w:t>并作为其投标文件的一部分。如果投标人为联合体</w:t>
      </w:r>
      <w:r>
        <w:rPr>
          <w:rFonts w:ascii="宋体" w:hAnsi="宋体" w:cs="宋体" w:hint="eastAsia"/>
          <w:sz w:val="24"/>
        </w:rPr>
        <w:t>，</w:t>
      </w:r>
      <w:r>
        <w:rPr>
          <w:rFonts w:ascii="宋体" w:hAnsi="宋体" w:cs="宋体" w:hint="eastAsia"/>
          <w:sz w:val="24"/>
          <w:lang w:eastAsia="zh-TW"/>
        </w:rPr>
        <w:t>应提交联合体各方的资格证明文件、联合投标协议并注明主</w:t>
      </w:r>
      <w:r>
        <w:rPr>
          <w:rFonts w:ascii="宋体" w:hAnsi="宋体" w:cs="宋体" w:hint="eastAsia"/>
          <w:sz w:val="24"/>
        </w:rPr>
        <w:t>体方及各方拟承担的工作和责任。</w:t>
      </w:r>
      <w:r>
        <w:rPr>
          <w:rFonts w:ascii="宋体" w:hAnsi="宋体" w:cs="宋体" w:hint="eastAsia"/>
          <w:sz w:val="24"/>
          <w:lang w:eastAsia="zh-TW"/>
        </w:rPr>
        <w:t>否则</w:t>
      </w:r>
      <w:r>
        <w:rPr>
          <w:rFonts w:ascii="宋体" w:hAnsi="宋体" w:cs="宋体" w:hint="eastAsia"/>
          <w:sz w:val="24"/>
        </w:rPr>
        <w:t>，</w:t>
      </w:r>
      <w:r>
        <w:rPr>
          <w:rFonts w:ascii="宋体" w:hAnsi="宋体" w:cs="宋体" w:hint="eastAsia"/>
          <w:sz w:val="24"/>
          <w:lang w:eastAsia="zh-TW"/>
        </w:rPr>
        <w:t>将导致其</w:t>
      </w:r>
      <w:r>
        <w:rPr>
          <w:rFonts w:ascii="宋体" w:hAnsi="宋体" w:cs="宋体" w:hint="eastAsia"/>
          <w:b/>
          <w:sz w:val="24"/>
          <w:lang w:eastAsia="zh-TW"/>
        </w:rPr>
        <w:t>投标</w:t>
      </w:r>
      <w:r>
        <w:rPr>
          <w:rFonts w:ascii="宋体" w:hAnsi="宋体" w:cs="宋体" w:hint="eastAsia"/>
          <w:b/>
          <w:sz w:val="24"/>
        </w:rPr>
        <w:t>无效</w:t>
      </w:r>
      <w:r>
        <w:rPr>
          <w:rFonts w:ascii="宋体" w:hAnsi="宋体" w:cs="宋体" w:hint="eastAsia"/>
          <w:sz w:val="24"/>
        </w:rPr>
        <w:t>。</w:t>
      </w:r>
    </w:p>
    <w:p>
      <w:pPr>
        <w:numPr>
          <w:ilvl w:val="1"/>
          <w:numId w:val="40"/>
        </w:numPr>
        <w:autoSpaceDE w:val="0"/>
        <w:autoSpaceDN w:val="0"/>
        <w:adjustRightInd w:val="0"/>
        <w:snapToGrid w:val="0"/>
        <w:spacing w:line="360" w:lineRule="auto"/>
        <w:rPr>
          <w:rFonts w:ascii="宋体" w:hAnsi="宋体" w:cs="宋体"/>
          <w:sz w:val="24"/>
          <w:lang w:eastAsia="zh-TW"/>
        </w:rPr>
      </w:pPr>
      <w:r>
        <w:rPr>
          <w:rFonts w:ascii="宋体" w:hAnsi="宋体" w:cs="宋体" w:hint="eastAsia"/>
          <w:sz w:val="24"/>
          <w:lang w:eastAsia="zh-TW"/>
        </w:rPr>
        <w:t>投标人提交的资格证明文件应证明其</w:t>
      </w:r>
      <w:r>
        <w:rPr>
          <w:rFonts w:ascii="宋体" w:hAnsi="宋体" w:cs="宋体" w:hint="eastAsia"/>
          <w:sz w:val="24"/>
        </w:rPr>
        <w:t>满足</w:t>
      </w:r>
      <w:r>
        <w:rPr>
          <w:rFonts w:ascii="宋体" w:hint="eastAsia"/>
          <w:bCs/>
          <w:sz w:val="24"/>
        </w:rPr>
        <w:t>投标人的资格要求</w:t>
      </w:r>
      <w:r>
        <w:rPr>
          <w:rFonts w:ascii="宋体" w:hAnsi="宋体" w:cs="宋体" w:hint="eastAsia"/>
          <w:sz w:val="24"/>
          <w:lang w:eastAsia="zh-TW"/>
        </w:rPr>
        <w:t>。</w:t>
      </w:r>
    </w:p>
    <w:p>
      <w:pPr>
        <w:numPr>
          <w:ilvl w:val="0"/>
          <w:numId w:val="36"/>
        </w:numPr>
        <w:autoSpaceDE w:val="0"/>
        <w:autoSpaceDN w:val="0"/>
        <w:adjustRightInd w:val="0"/>
        <w:snapToGrid w:val="0"/>
        <w:spacing w:line="360" w:lineRule="auto"/>
        <w:ind w:left="487" w:hanging="424" w:hangingChars="202"/>
        <w:outlineLvl w:val="3"/>
        <w:rPr>
          <w:rFonts w:ascii="宋体" w:hAnsi="宋体"/>
          <w:b/>
          <w:bCs/>
          <w:sz w:val="24"/>
        </w:rPr>
      </w:pPr>
      <w:r>
        <w:rPr>
          <w:rFonts w:ascii="宋体" w:hAnsi="宋体"/>
          <w:b/>
          <w:bCs/>
          <w:sz w:val="24"/>
        </w:rPr>
        <w:t>证明投标标的的合格性和符合招标文件规定的文件</w:t>
      </w:r>
    </w:p>
    <w:p>
      <w:pPr>
        <w:numPr>
          <w:ilvl w:val="1"/>
          <w:numId w:val="41"/>
        </w:numPr>
        <w:autoSpaceDE w:val="0"/>
        <w:autoSpaceDN w:val="0"/>
        <w:adjustRightInd w:val="0"/>
        <w:snapToGrid w:val="0"/>
        <w:spacing w:line="360" w:lineRule="auto"/>
        <w:rPr>
          <w:rFonts w:ascii="宋体" w:hAnsi="宋体" w:cs="黑体"/>
          <w:b/>
          <w:bCs/>
          <w:sz w:val="24"/>
        </w:rPr>
      </w:pPr>
      <w:r>
        <w:rPr>
          <w:rFonts w:ascii="宋体" w:hAnsi="宋体" w:cs="宋体" w:hint="eastAsia"/>
          <w:sz w:val="24"/>
          <w:lang w:eastAsia="zh-TW"/>
        </w:rPr>
        <w:t>投标人应提交证明文件</w:t>
      </w:r>
      <w:r>
        <w:rPr>
          <w:rFonts w:ascii="宋体" w:hAnsi="宋体" w:cs="宋体" w:hint="eastAsia"/>
          <w:sz w:val="24"/>
        </w:rPr>
        <w:t>，</w:t>
      </w:r>
      <w:r>
        <w:rPr>
          <w:rFonts w:ascii="宋体" w:hAnsi="宋体" w:cs="宋体" w:hint="eastAsia"/>
          <w:sz w:val="24"/>
          <w:lang w:eastAsia="zh-TW"/>
        </w:rPr>
        <w:t>证明其拟</w:t>
      </w:r>
      <w:r>
        <w:rPr>
          <w:rFonts w:ascii="宋体" w:hAnsi="宋体" w:cs="宋体" w:hint="eastAsia"/>
          <w:sz w:val="24"/>
        </w:rPr>
        <w:t>投标</w:t>
      </w:r>
      <w:r>
        <w:rPr>
          <w:rFonts w:ascii="宋体" w:hAnsi="宋体" w:cs="宋体" w:hint="eastAsia"/>
          <w:sz w:val="24"/>
          <w:lang w:eastAsia="zh-TW"/>
        </w:rPr>
        <w:t>的货物和服务的合格性符合招标文件规定。该证明文件作为投标文件的一部分。</w:t>
      </w:r>
    </w:p>
    <w:p>
      <w:pPr>
        <w:numPr>
          <w:ilvl w:val="1"/>
          <w:numId w:val="41"/>
        </w:numPr>
        <w:autoSpaceDE w:val="0"/>
        <w:autoSpaceDN w:val="0"/>
        <w:adjustRightInd w:val="0"/>
        <w:snapToGrid w:val="0"/>
        <w:spacing w:line="360" w:lineRule="auto"/>
        <w:rPr>
          <w:rFonts w:ascii="宋体" w:hAnsi="宋体" w:cs="宋体"/>
          <w:sz w:val="24"/>
          <w:lang w:eastAsia="zh-TW"/>
        </w:rPr>
      </w:pPr>
      <w:r>
        <w:rPr>
          <w:rFonts w:ascii="宋体" w:hAnsi="宋体" w:cs="宋体" w:hint="eastAsia"/>
          <w:sz w:val="24"/>
          <w:lang w:eastAsia="zh-TW"/>
        </w:rPr>
        <w:t>货物和服务合格性的证明文件应包括投标分项报价表中对货物和服务原产地的说明。</w:t>
      </w:r>
    </w:p>
    <w:p>
      <w:pPr>
        <w:numPr>
          <w:ilvl w:val="1"/>
          <w:numId w:val="41"/>
        </w:numPr>
        <w:autoSpaceDE w:val="0"/>
        <w:autoSpaceDN w:val="0"/>
        <w:adjustRightInd w:val="0"/>
        <w:snapToGrid w:val="0"/>
        <w:spacing w:line="360" w:lineRule="auto"/>
        <w:rPr>
          <w:rFonts w:ascii="宋体" w:hAnsi="宋体"/>
          <w:strike/>
          <w:sz w:val="24"/>
        </w:rPr>
      </w:pPr>
      <w:r>
        <w:rPr>
          <w:rFonts w:ascii="宋体" w:hAnsi="宋体" w:cs="宋体" w:hint="eastAsia"/>
          <w:sz w:val="24"/>
          <w:lang w:eastAsia="zh-TW"/>
        </w:rPr>
        <w:t>证明货物和服务与招标文件的要求相一致的文件，可以是文字资料、图纸和数据</w:t>
      </w:r>
      <w:r>
        <w:rPr>
          <w:rFonts w:ascii="宋体" w:hAnsi="宋体" w:cs="宋体" w:hint="eastAsia"/>
          <w:sz w:val="24"/>
        </w:rPr>
        <w:t>。</w:t>
      </w:r>
    </w:p>
    <w:p>
      <w:pPr>
        <w:numPr>
          <w:ilvl w:val="0"/>
          <w:numId w:val="36"/>
        </w:numPr>
        <w:autoSpaceDE w:val="0"/>
        <w:autoSpaceDN w:val="0"/>
        <w:adjustRightInd w:val="0"/>
        <w:snapToGrid w:val="0"/>
        <w:spacing w:line="360" w:lineRule="auto"/>
        <w:ind w:left="487" w:hanging="424" w:hangingChars="202"/>
        <w:outlineLvl w:val="3"/>
        <w:rPr>
          <w:rFonts w:ascii="宋体" w:hAnsi="宋体"/>
          <w:b/>
          <w:bCs/>
          <w:sz w:val="24"/>
        </w:rPr>
      </w:pPr>
      <w:r>
        <w:rPr>
          <w:rFonts w:ascii="宋体" w:hAnsi="宋体" w:hint="eastAsia"/>
          <w:b/>
          <w:bCs/>
          <w:sz w:val="24"/>
        </w:rPr>
        <w:t>投标有效期</w:t>
      </w:r>
    </w:p>
    <w:p>
      <w:pPr>
        <w:numPr>
          <w:ilvl w:val="1"/>
          <w:numId w:val="42"/>
        </w:numPr>
        <w:autoSpaceDE w:val="0"/>
        <w:autoSpaceDN w:val="0"/>
        <w:adjustRightInd w:val="0"/>
        <w:snapToGrid w:val="0"/>
        <w:spacing w:line="360" w:lineRule="auto"/>
        <w:rPr>
          <w:rFonts w:ascii="宋体" w:hAnsi="宋体" w:cs="黑体"/>
          <w:b/>
          <w:bCs/>
          <w:sz w:val="24"/>
        </w:rPr>
      </w:pPr>
      <w:r>
        <w:rPr>
          <w:rFonts w:ascii="宋体" w:hAnsi="宋体" w:cs="宋体" w:hint="eastAsia"/>
          <w:sz w:val="24"/>
          <w:lang w:eastAsia="zh-TW"/>
        </w:rPr>
        <w:t>投标应自</w:t>
      </w:r>
      <w:r>
        <w:rPr>
          <w:rFonts w:ascii="宋体" w:hAnsi="宋体" w:cs="宋体" w:hint="eastAsia"/>
          <w:b/>
          <w:sz w:val="24"/>
          <w:lang w:eastAsia="zh-TW"/>
        </w:rPr>
        <w:t>投标人须知前附表</w:t>
      </w:r>
      <w:r>
        <w:rPr>
          <w:rFonts w:ascii="宋体" w:hAnsi="宋体" w:cs="宋体" w:hint="eastAsia"/>
          <w:sz w:val="24"/>
          <w:lang w:eastAsia="zh-TW"/>
        </w:rPr>
        <w:t>中规定的投标有效期从提交投标文件的截止之日起算，并</w:t>
      </w:r>
      <w:r>
        <w:rPr>
          <w:rFonts w:ascii="宋体" w:hAnsi="宋体" w:cs="宋体" w:hint="eastAsia"/>
          <w:sz w:val="24"/>
        </w:rPr>
        <w:t>与</w:t>
      </w:r>
      <w:r>
        <w:rPr>
          <w:rFonts w:ascii="宋体" w:hAnsi="宋体" w:cs="宋体" w:hint="eastAsia"/>
          <w:b/>
          <w:sz w:val="24"/>
          <w:lang w:eastAsia="zh-TW"/>
        </w:rPr>
        <w:t>投标人须知前附表</w:t>
      </w:r>
      <w:r>
        <w:rPr>
          <w:rFonts w:ascii="宋体" w:hAnsi="宋体" w:cs="宋体" w:hint="eastAsia"/>
          <w:sz w:val="24"/>
          <w:lang w:eastAsia="zh-TW"/>
        </w:rPr>
        <w:t>中所述期限内保持有效。</w:t>
      </w:r>
    </w:p>
    <w:p>
      <w:pPr>
        <w:numPr>
          <w:ilvl w:val="1"/>
          <w:numId w:val="42"/>
        </w:numPr>
        <w:autoSpaceDE w:val="0"/>
        <w:autoSpaceDN w:val="0"/>
        <w:adjustRightInd w:val="0"/>
        <w:snapToGrid w:val="0"/>
        <w:spacing w:line="360" w:lineRule="auto"/>
        <w:rPr>
          <w:rFonts w:ascii="宋体" w:hAnsi="宋体"/>
          <w:strike/>
          <w:sz w:val="24"/>
        </w:rPr>
      </w:pPr>
      <w:r>
        <w:rPr>
          <w:rFonts w:ascii="宋体" w:hAnsi="宋体" w:cs="宋体" w:hint="eastAsia"/>
          <w:sz w:val="24"/>
          <w:lang w:eastAsia="zh-TW"/>
        </w:rPr>
        <w:t>特殊情况下</w:t>
      </w:r>
      <w:r>
        <w:rPr>
          <w:rFonts w:ascii="宋体" w:hAnsi="宋体" w:cs="宋体" w:hint="eastAsia"/>
          <w:sz w:val="24"/>
        </w:rPr>
        <w:t>，</w:t>
      </w:r>
      <w:r>
        <w:rPr>
          <w:rFonts w:ascii="宋体" w:hAnsi="宋体" w:cs="宋体" w:hint="eastAsia"/>
          <w:sz w:val="24"/>
          <w:lang w:eastAsia="zh-TW"/>
        </w:rPr>
        <w:t>在原投标有效期截止之前</w:t>
      </w:r>
      <w:r>
        <w:rPr>
          <w:rFonts w:ascii="宋体" w:hAnsi="宋体" w:cs="宋体" w:hint="eastAsia"/>
          <w:sz w:val="24"/>
        </w:rPr>
        <w:t>，</w:t>
      </w:r>
      <w:r>
        <w:rPr>
          <w:rFonts w:ascii="宋体" w:hAnsi="宋体" w:cs="宋体" w:hint="eastAsia"/>
          <w:sz w:val="24"/>
          <w:lang w:eastAsia="zh-TW"/>
        </w:rPr>
        <w:t>采购代理机构可要求投标人延长投标有效期。这种要求与答复均应以书面形式提交。</w:t>
      </w:r>
    </w:p>
    <w:p>
      <w:pPr>
        <w:spacing w:line="400" w:lineRule="exact"/>
        <w:ind w:firstLine="420" w:firstLineChars="200"/>
        <w:jc w:val="center"/>
        <w:rPr>
          <w:b/>
          <w:color w:val="FF0000"/>
          <w:sz w:val="24"/>
        </w:rPr>
      </w:pPr>
    </w:p>
    <w:p>
      <w:pPr>
        <w:numPr>
          <w:ilvl w:val="0"/>
          <w:numId w:val="33"/>
        </w:numPr>
        <w:autoSpaceDE w:val="0"/>
        <w:autoSpaceDN w:val="0"/>
        <w:adjustRightInd w:val="0"/>
        <w:snapToGrid w:val="0"/>
        <w:spacing w:line="360" w:lineRule="auto"/>
        <w:ind w:left="708" w:hanging="529" w:hangingChars="252"/>
        <w:jc w:val="center"/>
        <w:outlineLvl w:val="2"/>
        <w:rPr>
          <w:rFonts w:ascii="宋体" w:hAnsi="宋体"/>
          <w:b/>
          <w:sz w:val="28"/>
          <w:szCs w:val="28"/>
          <w:lang w:eastAsia="zh-TW"/>
        </w:rPr>
      </w:pPr>
      <w:bookmarkStart w:id="108" w:name="_Toc1889"/>
      <w:bookmarkStart w:id="109" w:name="_Toc256000017"/>
      <w:r>
        <w:rPr>
          <w:rFonts w:ascii="宋体" w:hAnsi="宋体" w:hint="eastAsia"/>
          <w:b/>
          <w:sz w:val="28"/>
          <w:szCs w:val="28"/>
          <w:lang w:eastAsia="zh-TW"/>
        </w:rPr>
        <w:t>投标文件的递交</w:t>
      </w:r>
      <w:bookmarkEnd w:id="109"/>
      <w:bookmarkEnd w:id="108"/>
    </w:p>
    <w:p>
      <w:pPr>
        <w:numPr>
          <w:ilvl w:val="0"/>
          <w:numId w:val="43"/>
        </w:numPr>
        <w:autoSpaceDE w:val="0"/>
        <w:autoSpaceDN w:val="0"/>
        <w:adjustRightInd w:val="0"/>
        <w:snapToGrid w:val="0"/>
        <w:spacing w:line="360" w:lineRule="auto"/>
        <w:outlineLvl w:val="3"/>
        <w:rPr>
          <w:rFonts w:ascii="宋体" w:hAnsi="宋体"/>
          <w:b/>
          <w:bCs/>
          <w:sz w:val="24"/>
        </w:rPr>
      </w:pPr>
      <w:r>
        <w:rPr>
          <w:rFonts w:ascii="宋体" w:hAnsi="宋体" w:hint="eastAsia"/>
          <w:b/>
          <w:bCs/>
          <w:sz w:val="24"/>
        </w:rPr>
        <w:t xml:space="preserve">投标文件递交 </w:t>
      </w:r>
    </w:p>
    <w:p>
      <w:pPr>
        <w:numPr>
          <w:ilvl w:val="1"/>
          <w:numId w:val="44"/>
        </w:numPr>
        <w:autoSpaceDE w:val="0"/>
        <w:autoSpaceDN w:val="0"/>
        <w:adjustRightInd w:val="0"/>
        <w:snapToGrid w:val="0"/>
        <w:spacing w:line="360" w:lineRule="auto"/>
        <w:rPr>
          <w:sz w:val="24"/>
        </w:rPr>
      </w:pPr>
      <w:r>
        <w:rPr>
          <w:rFonts w:hint="eastAsia"/>
          <w:sz w:val="24"/>
        </w:rPr>
        <w:t>实行网上投标，</w:t>
      </w:r>
      <w:r>
        <w:rPr>
          <w:sz w:val="24"/>
        </w:rPr>
        <w:t>投标人必须</w:t>
      </w:r>
      <w:r>
        <w:rPr>
          <w:rFonts w:hint="eastAsia"/>
          <w:sz w:val="24"/>
        </w:rPr>
        <w:t>在招标</w:t>
      </w:r>
      <w:r>
        <w:rPr>
          <w:sz w:val="24"/>
        </w:rPr>
        <w:t>文件规定的投标截止时间前</w:t>
      </w:r>
      <w:r>
        <w:rPr>
          <w:rFonts w:hint="eastAsia"/>
          <w:sz w:val="24"/>
        </w:rPr>
        <w:t>用电子密钥登录“深圳政府采购智慧平台用户网上办事子系统（http://zfcg.szggzy.com/TPBidder/memberLogin）”，用“【我的项目】→【项目流程】→【递交投标(应答)文件】”功能点上传投标文件。如果确有困难，多次上传均告失败，请在投标截止时间之前携带加密后的电子投标文件送达至深圳公共资源交易中心（深圳交易集团有限公司政府采购业务分公司）3楼304室（地址：深圳市福田区景田路70号雅枫国际酒店北侧交易集团评审区三楼），联系方式：83948100，83938584，83938599。</w:t>
      </w:r>
    </w:p>
    <w:p>
      <w:pPr>
        <w:numPr>
          <w:ilvl w:val="1"/>
          <w:numId w:val="44"/>
        </w:numPr>
        <w:autoSpaceDE w:val="0"/>
        <w:autoSpaceDN w:val="0"/>
        <w:adjustRightInd w:val="0"/>
        <w:snapToGrid w:val="0"/>
        <w:spacing w:line="360" w:lineRule="auto"/>
        <w:rPr>
          <w:sz w:val="24"/>
        </w:rPr>
      </w:pPr>
      <w:r>
        <w:rPr>
          <w:rFonts w:hint="eastAsia"/>
          <w:sz w:val="24"/>
        </w:rPr>
        <w:t>采购代理机构可以按本须知第二点（二）招标文件的澄清或修改的规定，通过修改招标文件自行决定酌情延长投标截止期。在此情况下，采购代理机构、采购人和投标人受投标截止期制约的所有权利和义务均应延长至新的截止期。</w:t>
      </w:r>
    </w:p>
    <w:p>
      <w:pPr>
        <w:numPr>
          <w:ilvl w:val="1"/>
          <w:numId w:val="44"/>
        </w:numPr>
        <w:autoSpaceDE w:val="0"/>
        <w:autoSpaceDN w:val="0"/>
        <w:adjustRightInd w:val="0"/>
        <w:snapToGrid w:val="0"/>
        <w:spacing w:line="360" w:lineRule="auto"/>
        <w:rPr>
          <w:sz w:val="24"/>
        </w:rPr>
      </w:pPr>
      <w:r>
        <w:rPr>
          <w:rFonts w:hint="eastAsia"/>
          <w:sz w:val="24"/>
        </w:rPr>
        <w:t>投标截止时间以后不得上传投标文件。</w:t>
      </w:r>
    </w:p>
    <w:p>
      <w:pPr>
        <w:numPr>
          <w:ilvl w:val="1"/>
          <w:numId w:val="44"/>
        </w:numPr>
        <w:autoSpaceDE w:val="0"/>
        <w:autoSpaceDN w:val="0"/>
        <w:adjustRightInd w:val="0"/>
        <w:snapToGrid w:val="0"/>
        <w:spacing w:line="360" w:lineRule="auto"/>
        <w:rPr>
          <w:sz w:val="24"/>
        </w:rPr>
      </w:pPr>
      <w:r>
        <w:rPr>
          <w:rFonts w:hint="eastAsia"/>
          <w:b/>
          <w:bCs/>
          <w:sz w:val="24"/>
        </w:rPr>
        <w:t>投标人须在开标当日的开标时间至解密截止时间内进行解密，逾期未解密的作无效处理。</w:t>
      </w:r>
      <w:r>
        <w:rPr>
          <w:rFonts w:hint="eastAsia"/>
          <w:sz w:val="24"/>
        </w:rPr>
        <w:t>解密方法：登录“深圳政府采购智慧平台用户网上办事子系统（http://zfcg.szggzy.com/TPBidder/memberLogin）”，使用本单位制作电子投标文件同一个电子密钥，在“【我的项目】→【项目流程】→【开标及解密】”进行在线解密、查询开标情况。</w:t>
      </w:r>
    </w:p>
    <w:p>
      <w:pPr>
        <w:numPr>
          <w:ilvl w:val="1"/>
          <w:numId w:val="44"/>
        </w:numPr>
        <w:autoSpaceDE w:val="0"/>
        <w:autoSpaceDN w:val="0"/>
        <w:adjustRightInd w:val="0"/>
        <w:snapToGrid w:val="0"/>
        <w:spacing w:line="360" w:lineRule="auto"/>
        <w:rPr>
          <w:sz w:val="24"/>
        </w:rPr>
      </w:pPr>
      <w:r>
        <w:rPr>
          <w:sz w:val="24"/>
        </w:rPr>
        <w:t>投标文件的修改和撤销</w:t>
      </w:r>
    </w:p>
    <w:p>
      <w:pPr>
        <w:pStyle w:val="ListParagraph"/>
        <w:widowControl/>
        <w:numPr>
          <w:ilvl w:val="0"/>
          <w:numId w:val="45"/>
        </w:numPr>
        <w:adjustRightInd w:val="0"/>
        <w:snapToGrid w:val="0"/>
        <w:spacing w:line="360" w:lineRule="auto"/>
        <w:ind w:hanging="698" w:firstLineChars="0"/>
        <w:jc w:val="left"/>
        <w:rPr>
          <w:rFonts w:ascii="宋体" w:hAnsi="宋体"/>
          <w:sz w:val="24"/>
        </w:rPr>
      </w:pPr>
      <w:r>
        <w:rPr>
          <w:rFonts w:ascii="宋体" w:hAnsi="宋体" w:hint="eastAsia"/>
          <w:sz w:val="24"/>
        </w:rPr>
        <w:t>投标人</w:t>
      </w:r>
      <w:r>
        <w:rPr>
          <w:rFonts w:ascii="宋体" w:hAnsi="宋体"/>
          <w:sz w:val="24"/>
        </w:rPr>
        <w:t>在提交投标文件后可对其投标文件进行修改</w:t>
      </w:r>
      <w:r>
        <w:rPr>
          <w:rFonts w:ascii="宋体" w:hAnsi="宋体" w:hint="eastAsia"/>
          <w:sz w:val="24"/>
        </w:rPr>
        <w:t>并重新上传投标文件</w:t>
      </w:r>
      <w:r>
        <w:rPr>
          <w:rFonts w:ascii="宋体" w:hAnsi="宋体"/>
          <w:sz w:val="24"/>
        </w:rPr>
        <w:t>或</w:t>
      </w:r>
      <w:r>
        <w:rPr>
          <w:rFonts w:ascii="宋体" w:hAnsi="宋体" w:hint="eastAsia"/>
          <w:sz w:val="24"/>
        </w:rPr>
        <w:t>在网上进行</w:t>
      </w:r>
      <w:r>
        <w:rPr>
          <w:rFonts w:ascii="宋体" w:hAnsi="宋体"/>
          <w:sz w:val="24"/>
        </w:rPr>
        <w:t>撤销</w:t>
      </w:r>
      <w:r>
        <w:rPr>
          <w:rFonts w:ascii="宋体" w:hAnsi="宋体" w:hint="eastAsia"/>
          <w:sz w:val="24"/>
        </w:rPr>
        <w:t>投标的操作</w:t>
      </w:r>
      <w:r>
        <w:rPr>
          <w:rFonts w:ascii="宋体" w:hAnsi="宋体"/>
          <w:sz w:val="24"/>
        </w:rPr>
        <w:t>。</w:t>
      </w:r>
    </w:p>
    <w:p>
      <w:pPr>
        <w:pStyle w:val="ListParagraph"/>
        <w:widowControl/>
        <w:numPr>
          <w:ilvl w:val="0"/>
          <w:numId w:val="45"/>
        </w:numPr>
        <w:adjustRightInd w:val="0"/>
        <w:snapToGrid w:val="0"/>
        <w:spacing w:line="360" w:lineRule="auto"/>
        <w:ind w:hanging="698" w:firstLineChars="0"/>
        <w:jc w:val="left"/>
        <w:rPr>
          <w:rFonts w:ascii="宋体" w:hAnsi="宋体"/>
          <w:sz w:val="24"/>
        </w:rPr>
      </w:pPr>
      <w:r>
        <w:rPr>
          <w:rFonts w:ascii="宋体" w:hAnsi="宋体"/>
          <w:sz w:val="24"/>
        </w:rPr>
        <w:t>投标截止时间以后不得修改投标文件。</w:t>
      </w:r>
    </w:p>
    <w:p>
      <w:pPr>
        <w:pStyle w:val="ListParagraph"/>
        <w:widowControl/>
        <w:numPr>
          <w:ilvl w:val="0"/>
          <w:numId w:val="45"/>
        </w:numPr>
        <w:adjustRightInd w:val="0"/>
        <w:snapToGrid w:val="0"/>
        <w:spacing w:line="360" w:lineRule="auto"/>
        <w:ind w:hanging="698" w:firstLineChars="0"/>
        <w:jc w:val="left"/>
        <w:rPr>
          <w:rFonts w:ascii="宋体" w:hAnsi="宋体"/>
          <w:sz w:val="24"/>
        </w:rPr>
      </w:pPr>
      <w:r>
        <w:rPr>
          <w:rFonts w:ascii="宋体" w:hAnsi="宋体" w:hint="eastAsia"/>
          <w:sz w:val="24"/>
        </w:rPr>
        <w:t>从投标截止期至投标人在投标文件中确定的投标有效期之间的这段时间内，投标人不得撤回其投标。</w:t>
      </w:r>
    </w:p>
    <w:p>
      <w:pPr>
        <w:pStyle w:val="ListParagraph"/>
        <w:widowControl/>
        <w:numPr>
          <w:ilvl w:val="0"/>
          <w:numId w:val="45"/>
        </w:numPr>
        <w:adjustRightInd w:val="0"/>
        <w:snapToGrid w:val="0"/>
        <w:spacing w:line="360" w:lineRule="auto"/>
        <w:ind w:hanging="698" w:firstLineChars="0"/>
        <w:jc w:val="left"/>
        <w:rPr>
          <w:rFonts w:ascii="宋体" w:hAnsi="宋体"/>
          <w:sz w:val="24"/>
        </w:rPr>
      </w:pPr>
      <w:r>
        <w:rPr>
          <w:rFonts w:ascii="宋体" w:hAnsi="宋体" w:hint="eastAsia"/>
          <w:sz w:val="24"/>
        </w:rPr>
        <w:t>采购代理机构不退还投标文件，专用条款另有规定的除外。</w:t>
      </w:r>
    </w:p>
    <w:p>
      <w:pPr>
        <w:numPr>
          <w:ilvl w:val="1"/>
          <w:numId w:val="44"/>
        </w:numPr>
        <w:autoSpaceDE w:val="0"/>
        <w:autoSpaceDN w:val="0"/>
        <w:adjustRightInd w:val="0"/>
        <w:snapToGrid w:val="0"/>
        <w:spacing w:line="360" w:lineRule="auto"/>
        <w:rPr>
          <w:rFonts w:ascii="宋体" w:hAnsi="宋体"/>
          <w:b/>
          <w:bCs/>
          <w:sz w:val="24"/>
        </w:rPr>
      </w:pPr>
      <w:r>
        <w:rPr>
          <w:rFonts w:hint="eastAsia"/>
          <w:sz w:val="24"/>
        </w:rPr>
        <w:t>投标截止时投标人不足三家，或有效投标少于三家采购代理机构有权宣布此次招标无效，重新招标或采用其它方式采购。</w:t>
      </w:r>
    </w:p>
    <w:p>
      <w:pPr>
        <w:numPr>
          <w:ilvl w:val="0"/>
          <w:numId w:val="43"/>
        </w:numPr>
        <w:autoSpaceDE w:val="0"/>
        <w:autoSpaceDN w:val="0"/>
        <w:adjustRightInd w:val="0"/>
        <w:snapToGrid w:val="0"/>
        <w:spacing w:line="360" w:lineRule="auto"/>
        <w:outlineLvl w:val="3"/>
        <w:rPr>
          <w:rFonts w:ascii="宋体" w:hAnsi="宋体"/>
          <w:b/>
          <w:bCs/>
          <w:sz w:val="24"/>
        </w:rPr>
      </w:pPr>
      <w:r>
        <w:rPr>
          <w:rFonts w:ascii="宋体" w:hAnsi="宋体" w:hint="eastAsia"/>
          <w:b/>
          <w:bCs/>
          <w:sz w:val="24"/>
        </w:rPr>
        <w:t>投标文件的修改和撤回、撤销</w:t>
      </w:r>
    </w:p>
    <w:p>
      <w:pPr>
        <w:numPr>
          <w:ilvl w:val="1"/>
          <w:numId w:val="46"/>
        </w:numPr>
        <w:autoSpaceDE w:val="0"/>
        <w:autoSpaceDN w:val="0"/>
        <w:adjustRightInd w:val="0"/>
        <w:snapToGrid w:val="0"/>
        <w:spacing w:line="360" w:lineRule="auto"/>
        <w:rPr>
          <w:rFonts w:ascii="宋体" w:hAnsi="宋体" w:cs="黑体"/>
          <w:b/>
          <w:bCs/>
          <w:sz w:val="24"/>
        </w:rPr>
      </w:pPr>
      <w:r>
        <w:rPr>
          <w:rFonts w:ascii="宋体" w:hAnsi="宋体" w:cs="宋体" w:hint="eastAsia"/>
          <w:sz w:val="24"/>
          <w:lang w:eastAsia="zh-TW"/>
        </w:rPr>
        <w:t>投标人在投标截止时间前，可以对所递交的投标文件进行补充、修改或者撤回。在投标截止时间之后，投标人不得对其投标文件做任何修改和补充。</w:t>
      </w:r>
    </w:p>
    <w:p>
      <w:pPr>
        <w:numPr>
          <w:ilvl w:val="1"/>
          <w:numId w:val="46"/>
        </w:numPr>
        <w:autoSpaceDE w:val="0"/>
        <w:autoSpaceDN w:val="0"/>
        <w:adjustRightInd w:val="0"/>
        <w:snapToGrid w:val="0"/>
        <w:spacing w:line="360" w:lineRule="auto"/>
        <w:rPr>
          <w:rFonts w:ascii="宋体" w:hAnsi="宋体" w:cs="黑体"/>
          <w:b/>
          <w:bCs/>
          <w:sz w:val="24"/>
        </w:rPr>
      </w:pPr>
      <w:r>
        <w:rPr>
          <w:rFonts w:ascii="宋体" w:hAnsi="宋体" w:hint="eastAsia"/>
          <w:bCs/>
          <w:sz w:val="24"/>
        </w:rPr>
        <w:t>投标人在投标截止后或在招标文件中规定的投标有效期内不可撤销其投标。</w:t>
      </w:r>
    </w:p>
    <w:p>
      <w:pPr>
        <w:numPr>
          <w:ilvl w:val="1"/>
          <w:numId w:val="46"/>
        </w:numPr>
        <w:autoSpaceDE w:val="0"/>
        <w:autoSpaceDN w:val="0"/>
        <w:adjustRightInd w:val="0"/>
        <w:snapToGrid w:val="0"/>
        <w:spacing w:line="360" w:lineRule="auto"/>
        <w:rPr>
          <w:rFonts w:ascii="宋体" w:hAnsi="宋体" w:cs="黑体"/>
          <w:b/>
          <w:bCs/>
          <w:strike/>
          <w:sz w:val="24"/>
        </w:rPr>
      </w:pPr>
      <w:r>
        <w:rPr>
          <w:rFonts w:ascii="宋体" w:hAnsi="宋体" w:hint="eastAsia"/>
          <w:sz w:val="24"/>
        </w:rPr>
        <w:t>投标人所提交的投标文件在本项目投标截止时间后均不予退还。</w:t>
      </w:r>
    </w:p>
    <w:p>
      <w:pPr>
        <w:numPr>
          <w:ilvl w:val="0"/>
          <w:numId w:val="33"/>
        </w:numPr>
        <w:autoSpaceDE w:val="0"/>
        <w:autoSpaceDN w:val="0"/>
        <w:adjustRightInd w:val="0"/>
        <w:snapToGrid w:val="0"/>
        <w:spacing w:line="360" w:lineRule="auto"/>
        <w:ind w:left="708" w:hanging="529" w:hangingChars="252"/>
        <w:jc w:val="center"/>
        <w:outlineLvl w:val="2"/>
        <w:rPr>
          <w:rFonts w:ascii="宋体" w:hAnsi="宋体"/>
          <w:b/>
          <w:sz w:val="28"/>
          <w:szCs w:val="28"/>
          <w:lang w:eastAsia="zh-TW"/>
        </w:rPr>
      </w:pPr>
      <w:bookmarkStart w:id="110" w:name="_Toc30000"/>
      <w:bookmarkStart w:id="111" w:name="_Toc256000018"/>
      <w:r>
        <w:rPr>
          <w:rFonts w:ascii="宋体" w:hAnsi="宋体" w:hint="eastAsia"/>
          <w:b/>
          <w:sz w:val="28"/>
          <w:szCs w:val="28"/>
          <w:lang w:eastAsia="zh-TW"/>
        </w:rPr>
        <w:t>开标、评标、定标与合同签订</w:t>
      </w:r>
      <w:bookmarkEnd w:id="111"/>
      <w:bookmarkEnd w:id="110"/>
    </w:p>
    <w:p>
      <w:pPr>
        <w:numPr>
          <w:ilvl w:val="0"/>
          <w:numId w:val="47"/>
        </w:numPr>
        <w:autoSpaceDE w:val="0"/>
        <w:autoSpaceDN w:val="0"/>
        <w:adjustRightInd w:val="0"/>
        <w:snapToGrid w:val="0"/>
        <w:spacing w:line="360" w:lineRule="auto"/>
        <w:outlineLvl w:val="3"/>
        <w:rPr>
          <w:rFonts w:ascii="宋体" w:hAnsi="宋体"/>
          <w:b/>
          <w:bCs/>
          <w:sz w:val="24"/>
        </w:rPr>
      </w:pPr>
      <w:r>
        <w:rPr>
          <w:rFonts w:ascii="宋体" w:hAnsi="宋体" w:hint="eastAsia"/>
          <w:b/>
          <w:bCs/>
          <w:sz w:val="24"/>
        </w:rPr>
        <w:t>开标</w:t>
      </w:r>
    </w:p>
    <w:p>
      <w:pPr>
        <w:pStyle w:val="1"/>
        <w:widowControl/>
        <w:numPr>
          <w:ilvl w:val="1"/>
          <w:numId w:val="47"/>
        </w:numPr>
        <w:spacing w:line="360" w:lineRule="auto"/>
        <w:ind w:firstLineChars="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投标人须在开标当日的开标时间至解密截止时间内进行解密，逾期未解密的作无效处理。解密方法：登录“深圳政府采购智慧平台用户网上办事子系统（http://zfcg.szggzy.com/TPBidder/memberLogin）”，使用本单位制作电子投标文件同一个电子密钥，在“【我的项目】→【项目流程】→【开标及解密】”进行在线解密、查询开标情况。</w:t>
      </w:r>
    </w:p>
    <w:p>
      <w:pPr>
        <w:pStyle w:val="1"/>
        <w:widowControl/>
        <w:numPr>
          <w:ilvl w:val="1"/>
          <w:numId w:val="47"/>
        </w:numPr>
        <w:spacing w:line="360" w:lineRule="auto"/>
        <w:ind w:firstLineChars="0"/>
        <w:jc w:val="left"/>
        <w:rPr>
          <w:rFonts w:asciiTheme="minorEastAsia" w:eastAsiaTheme="minorEastAsia" w:hAnsiTheme="minorEastAsia" w:cstheme="minorEastAsia"/>
          <w:sz w:val="24"/>
          <w:lang w:eastAsia="zh-TW"/>
        </w:rPr>
      </w:pPr>
      <w:r>
        <w:rPr>
          <w:rFonts w:asciiTheme="minorEastAsia" w:eastAsiaTheme="minorEastAsia" w:hAnsiTheme="minorEastAsia" w:cstheme="minorEastAsia" w:hint="eastAsia"/>
          <w:sz w:val="24"/>
        </w:rPr>
        <w:t>采购代理机构将在满足开标条件（①解密时间结束，解密后的投标供应商数量满足开标要求或②解密时间结束前所有投标供应商均完成投标文件解密）后，对投标文件进行开标，并在网上公布开标结果。</w:t>
      </w:r>
    </w:p>
    <w:p>
      <w:pPr>
        <w:pStyle w:val="1"/>
        <w:widowControl/>
        <w:numPr>
          <w:ilvl w:val="1"/>
          <w:numId w:val="47"/>
        </w:numPr>
        <w:spacing w:line="360" w:lineRule="auto"/>
        <w:ind w:firstLineChars="0"/>
        <w:jc w:val="left"/>
        <w:rPr>
          <w:rFonts w:asciiTheme="minorEastAsia" w:eastAsiaTheme="minorEastAsia" w:hAnsiTheme="minorEastAsia" w:cstheme="minorEastAsia"/>
          <w:sz w:val="24"/>
          <w:lang w:eastAsia="zh-TW"/>
        </w:rPr>
      </w:pPr>
      <w:r>
        <w:rPr>
          <w:rFonts w:asciiTheme="minorEastAsia" w:eastAsiaTheme="minorEastAsia" w:hAnsiTheme="minorEastAsia" w:cstheme="minorEastAsia" w:hint="eastAsia"/>
          <w:sz w:val="24"/>
          <w:lang w:eastAsia="zh-TW"/>
        </w:rPr>
        <w:t>投标人不足3家的，不得开标。</w:t>
      </w:r>
      <w:r>
        <w:rPr>
          <w:rFonts w:asciiTheme="minorEastAsia" w:eastAsiaTheme="minorEastAsia" w:hAnsiTheme="minorEastAsia" w:cstheme="minorEastAsia"/>
          <w:sz w:val="24"/>
        </w:rPr>
        <w:t xml:space="preserve"> </w:t>
      </w:r>
    </w:p>
    <w:p>
      <w:pPr>
        <w:numPr>
          <w:ilvl w:val="0"/>
          <w:numId w:val="47"/>
        </w:numPr>
        <w:autoSpaceDE w:val="0"/>
        <w:autoSpaceDN w:val="0"/>
        <w:adjustRightInd w:val="0"/>
        <w:snapToGrid w:val="0"/>
        <w:spacing w:line="360" w:lineRule="auto"/>
        <w:ind w:left="487" w:hanging="424" w:hangingChars="202"/>
        <w:outlineLvl w:val="3"/>
        <w:rPr>
          <w:rFonts w:ascii="宋体" w:hAnsi="宋体"/>
          <w:b/>
          <w:bCs/>
          <w:sz w:val="24"/>
        </w:rPr>
      </w:pPr>
      <w:r>
        <w:rPr>
          <w:rFonts w:ascii="宋体" w:hAnsi="宋体" w:hint="eastAsia"/>
          <w:b/>
          <w:bCs/>
          <w:sz w:val="24"/>
        </w:rPr>
        <w:t>评标：</w:t>
      </w:r>
    </w:p>
    <w:p>
      <w:pPr>
        <w:pStyle w:val="ListParagraph"/>
        <w:widowControl/>
        <w:numPr>
          <w:ilvl w:val="0"/>
          <w:numId w:val="48"/>
        </w:numPr>
        <w:adjustRightInd w:val="0"/>
        <w:snapToGrid w:val="0"/>
        <w:spacing w:line="360" w:lineRule="auto"/>
        <w:ind w:left="426" w:hanging="426" w:firstLineChars="0"/>
        <w:jc w:val="left"/>
        <w:rPr>
          <w:rFonts w:ascii="宋体" w:hAnsi="宋体"/>
          <w:b/>
          <w:bCs/>
          <w:sz w:val="24"/>
        </w:rPr>
      </w:pPr>
      <w:r>
        <w:rPr>
          <w:rFonts w:ascii="宋体" w:hAnsi="宋体" w:hint="eastAsia"/>
          <w:b/>
          <w:bCs/>
          <w:sz w:val="24"/>
        </w:rPr>
        <w:t>评审委员会组成及职责</w:t>
      </w:r>
    </w:p>
    <w:p>
      <w:pPr>
        <w:pStyle w:val="ListParagraph"/>
        <w:widowControl/>
        <w:numPr>
          <w:ilvl w:val="0"/>
          <w:numId w:val="49"/>
        </w:numPr>
        <w:adjustRightInd w:val="0"/>
        <w:snapToGrid w:val="0"/>
        <w:spacing w:line="360" w:lineRule="auto"/>
        <w:ind w:left="426" w:firstLineChars="0"/>
        <w:jc w:val="left"/>
        <w:rPr>
          <w:rFonts w:ascii="宋体" w:hAnsi="宋体" w:cs="宋体"/>
          <w:sz w:val="24"/>
          <w:lang w:eastAsia="zh-TW"/>
        </w:rPr>
      </w:pPr>
      <w:r>
        <w:rPr>
          <w:rFonts w:ascii="宋体" w:hAnsi="宋体" w:cs="宋体" w:hint="eastAsia"/>
          <w:sz w:val="24"/>
        </w:rPr>
        <w:t>本次招标</w:t>
      </w:r>
      <w:r>
        <w:rPr>
          <w:rFonts w:ascii="宋体" w:hAnsi="宋体" w:cs="宋体" w:hint="eastAsia"/>
          <w:sz w:val="24"/>
          <w:lang w:eastAsia="zh-TW"/>
        </w:rPr>
        <w:t>依法组建评审委员会，评审委员会成员人数</w:t>
      </w:r>
      <w:r>
        <w:rPr>
          <w:rFonts w:ascii="宋体" w:hAnsi="宋体" w:cs="宋体" w:hint="eastAsia"/>
          <w:b/>
          <w:sz w:val="24"/>
        </w:rPr>
        <w:t>详见投标人须知前附表</w:t>
      </w:r>
      <w:r>
        <w:rPr>
          <w:rFonts w:ascii="宋体" w:hAnsi="宋体" w:cs="宋体" w:hint="eastAsia"/>
          <w:sz w:val="24"/>
          <w:lang w:eastAsia="zh-TW"/>
        </w:rPr>
        <w:t>。</w:t>
      </w:r>
    </w:p>
    <w:p>
      <w:pPr>
        <w:pStyle w:val="ListParagraph"/>
        <w:widowControl/>
        <w:numPr>
          <w:ilvl w:val="0"/>
          <w:numId w:val="49"/>
        </w:numPr>
        <w:adjustRightInd w:val="0"/>
        <w:snapToGrid w:val="0"/>
        <w:spacing w:line="360" w:lineRule="auto"/>
        <w:ind w:left="709" w:hanging="703" w:firstLineChars="0"/>
        <w:jc w:val="left"/>
        <w:rPr>
          <w:rFonts w:ascii="宋体" w:hAnsi="宋体" w:cs="宋体"/>
          <w:sz w:val="24"/>
          <w:lang w:eastAsia="zh-TW"/>
        </w:rPr>
      </w:pPr>
      <w:r>
        <w:rPr>
          <w:rFonts w:ascii="宋体" w:hAnsi="宋体" w:cs="宋体" w:hint="eastAsia"/>
          <w:sz w:val="24"/>
          <w:lang w:eastAsia="zh-TW"/>
        </w:rPr>
        <w:t>评审委员会成员名单在评标结果公告前应当保密。评审专家有下列情形之一的，受到邀请应主动提出回避，采购当事人也可以要求该评审专家回避：</w:t>
      </w:r>
    </w:p>
    <w:p>
      <w:pPr>
        <w:pStyle w:val="ListParagraph"/>
        <w:widowControl/>
        <w:numPr>
          <w:ilvl w:val="1"/>
          <w:numId w:val="50"/>
        </w:numPr>
        <w:tabs>
          <w:tab w:val="left" w:pos="567"/>
        </w:tabs>
        <w:adjustRightInd w:val="0"/>
        <w:snapToGrid w:val="0"/>
        <w:spacing w:line="360" w:lineRule="auto"/>
        <w:ind w:hanging="136" w:firstLineChars="0"/>
        <w:jc w:val="left"/>
        <w:rPr>
          <w:rFonts w:ascii="宋体" w:hAnsi="宋体"/>
          <w:bCs/>
          <w:sz w:val="24"/>
        </w:rPr>
      </w:pPr>
      <w:r>
        <w:rPr>
          <w:rFonts w:ascii="宋体" w:hAnsi="宋体" w:hint="eastAsia"/>
          <w:bCs/>
          <w:sz w:val="24"/>
        </w:rPr>
        <w:t>参加采购活动前3年内与供应商存在劳动关系；</w:t>
      </w:r>
    </w:p>
    <w:p>
      <w:pPr>
        <w:pStyle w:val="ListParagraph"/>
        <w:widowControl/>
        <w:numPr>
          <w:ilvl w:val="1"/>
          <w:numId w:val="50"/>
        </w:numPr>
        <w:tabs>
          <w:tab w:val="left" w:pos="567"/>
        </w:tabs>
        <w:adjustRightInd w:val="0"/>
        <w:snapToGrid w:val="0"/>
        <w:spacing w:line="360" w:lineRule="auto"/>
        <w:ind w:hanging="136" w:firstLineChars="0"/>
        <w:jc w:val="left"/>
        <w:rPr>
          <w:rFonts w:ascii="宋体" w:hAnsi="宋体"/>
          <w:bCs/>
          <w:sz w:val="24"/>
        </w:rPr>
      </w:pPr>
      <w:r>
        <w:rPr>
          <w:rFonts w:ascii="宋体" w:hAnsi="宋体" w:hint="eastAsia"/>
          <w:bCs/>
          <w:sz w:val="24"/>
        </w:rPr>
        <w:t>参加采购活动前3年内担任供应商的董事、监事；</w:t>
      </w:r>
    </w:p>
    <w:p>
      <w:pPr>
        <w:pStyle w:val="ListParagraph"/>
        <w:widowControl/>
        <w:numPr>
          <w:ilvl w:val="1"/>
          <w:numId w:val="50"/>
        </w:numPr>
        <w:tabs>
          <w:tab w:val="left" w:pos="567"/>
        </w:tabs>
        <w:adjustRightInd w:val="0"/>
        <w:snapToGrid w:val="0"/>
        <w:spacing w:line="360" w:lineRule="auto"/>
        <w:ind w:hanging="136" w:firstLineChars="0"/>
        <w:jc w:val="left"/>
        <w:rPr>
          <w:rFonts w:ascii="宋体" w:hAnsi="宋体"/>
          <w:bCs/>
          <w:sz w:val="24"/>
        </w:rPr>
      </w:pPr>
      <w:r>
        <w:rPr>
          <w:rFonts w:ascii="宋体" w:hAnsi="宋体" w:hint="eastAsia"/>
          <w:bCs/>
          <w:sz w:val="24"/>
        </w:rPr>
        <w:t>参加采购活动前3年内是供应商的控股股东或者实际控制人；</w:t>
      </w:r>
    </w:p>
    <w:p>
      <w:pPr>
        <w:pStyle w:val="ListParagraph"/>
        <w:widowControl/>
        <w:numPr>
          <w:ilvl w:val="1"/>
          <w:numId w:val="50"/>
        </w:numPr>
        <w:tabs>
          <w:tab w:val="left" w:pos="567"/>
        </w:tabs>
        <w:adjustRightInd w:val="0"/>
        <w:snapToGrid w:val="0"/>
        <w:spacing w:line="360" w:lineRule="auto"/>
        <w:ind w:hanging="136" w:firstLineChars="0"/>
        <w:jc w:val="left"/>
        <w:rPr>
          <w:rFonts w:ascii="宋体" w:hAnsi="宋体"/>
          <w:bCs/>
          <w:sz w:val="24"/>
        </w:rPr>
      </w:pPr>
      <w:r>
        <w:rPr>
          <w:rFonts w:ascii="宋体" w:hAnsi="宋体" w:hint="eastAsia"/>
          <w:bCs/>
          <w:sz w:val="24"/>
        </w:rPr>
        <w:t>与供应商的法定代表人或者负责人有夫妻、直系血亲、三代以内旁系血亲或者近姻亲关系；</w:t>
      </w:r>
    </w:p>
    <w:p>
      <w:pPr>
        <w:pStyle w:val="ListParagraph"/>
        <w:widowControl/>
        <w:numPr>
          <w:ilvl w:val="1"/>
          <w:numId w:val="50"/>
        </w:numPr>
        <w:tabs>
          <w:tab w:val="left" w:pos="567"/>
        </w:tabs>
        <w:adjustRightInd w:val="0"/>
        <w:snapToGrid w:val="0"/>
        <w:spacing w:line="360" w:lineRule="auto"/>
        <w:ind w:hanging="136" w:firstLineChars="0"/>
        <w:jc w:val="left"/>
        <w:rPr>
          <w:rFonts w:ascii="宋体" w:hAnsi="宋体"/>
          <w:bCs/>
          <w:sz w:val="24"/>
        </w:rPr>
      </w:pPr>
      <w:r>
        <w:rPr>
          <w:rFonts w:ascii="宋体" w:hAnsi="宋体" w:hint="eastAsia"/>
          <w:bCs/>
          <w:sz w:val="24"/>
        </w:rPr>
        <w:t>与供应商有其他可能影响政府采购活动公平、公正进行的关系。</w:t>
      </w:r>
    </w:p>
    <w:p>
      <w:pPr>
        <w:pStyle w:val="ListParagraph"/>
        <w:widowControl/>
        <w:numPr>
          <w:ilvl w:val="0"/>
          <w:numId w:val="49"/>
        </w:numPr>
        <w:adjustRightInd w:val="0"/>
        <w:snapToGrid w:val="0"/>
        <w:spacing w:line="360" w:lineRule="auto"/>
        <w:ind w:left="709" w:hanging="703" w:firstLineChars="0"/>
        <w:jc w:val="left"/>
        <w:rPr>
          <w:rFonts w:ascii="宋体" w:hAnsi="宋体" w:cs="宋体"/>
          <w:sz w:val="24"/>
          <w:lang w:eastAsia="zh-TW"/>
        </w:rPr>
      </w:pPr>
      <w:r>
        <w:rPr>
          <w:rFonts w:ascii="宋体" w:hAnsi="宋体" w:cs="宋体" w:hint="eastAsia"/>
          <w:sz w:val="24"/>
          <w:lang w:eastAsia="zh-TW"/>
        </w:rPr>
        <w:t>评审委员会成员和参与评标的有关工作人员不得透露对投标文件的评审和比较、中标候选人的推荐情况以及与评标有关的其他情况。</w:t>
      </w:r>
    </w:p>
    <w:p>
      <w:pPr>
        <w:pStyle w:val="ListParagraph"/>
        <w:widowControl/>
        <w:numPr>
          <w:ilvl w:val="0"/>
          <w:numId w:val="49"/>
        </w:numPr>
        <w:adjustRightInd w:val="0"/>
        <w:snapToGrid w:val="0"/>
        <w:spacing w:line="360" w:lineRule="auto"/>
        <w:ind w:left="709" w:hanging="703" w:firstLineChars="0"/>
        <w:jc w:val="left"/>
        <w:rPr>
          <w:rFonts w:ascii="宋体" w:hAnsi="宋体" w:cs="宋体"/>
          <w:sz w:val="24"/>
          <w:lang w:eastAsia="zh-TW"/>
        </w:rPr>
      </w:pPr>
      <w:r>
        <w:rPr>
          <w:rFonts w:ascii="宋体" w:hAnsi="宋体" w:cs="宋体" w:hint="eastAsia"/>
          <w:sz w:val="24"/>
          <w:lang w:eastAsia="zh-TW"/>
        </w:rPr>
        <w:t>评审委员会负责具体评标事务，并独立履行下列职责：</w:t>
      </w:r>
    </w:p>
    <w:p>
      <w:pPr>
        <w:pStyle w:val="ListParagraph"/>
        <w:widowControl/>
        <w:numPr>
          <w:ilvl w:val="0"/>
          <w:numId w:val="51"/>
        </w:numPr>
        <w:tabs>
          <w:tab w:val="left" w:pos="567"/>
        </w:tabs>
        <w:adjustRightInd w:val="0"/>
        <w:snapToGrid w:val="0"/>
        <w:spacing w:line="360" w:lineRule="auto"/>
        <w:ind w:hanging="136" w:firstLineChars="0"/>
        <w:jc w:val="left"/>
        <w:rPr>
          <w:rFonts w:ascii="宋体" w:hAnsi="宋体"/>
          <w:bCs/>
          <w:sz w:val="24"/>
        </w:rPr>
      </w:pPr>
      <w:r>
        <w:rPr>
          <w:rFonts w:ascii="宋体" w:hAnsi="宋体" w:hint="eastAsia"/>
          <w:bCs/>
          <w:sz w:val="24"/>
        </w:rPr>
        <w:t>审查、评价投标文件是否符合招标文件的商务、技术等实质性要求；</w:t>
      </w:r>
    </w:p>
    <w:p>
      <w:pPr>
        <w:pStyle w:val="ListParagraph"/>
        <w:widowControl/>
        <w:numPr>
          <w:ilvl w:val="0"/>
          <w:numId w:val="51"/>
        </w:numPr>
        <w:tabs>
          <w:tab w:val="left" w:pos="567"/>
        </w:tabs>
        <w:adjustRightInd w:val="0"/>
        <w:snapToGrid w:val="0"/>
        <w:spacing w:line="360" w:lineRule="auto"/>
        <w:ind w:hanging="136" w:firstLineChars="0"/>
        <w:jc w:val="left"/>
        <w:rPr>
          <w:rFonts w:ascii="宋体" w:hAnsi="宋体"/>
          <w:bCs/>
          <w:sz w:val="24"/>
        </w:rPr>
      </w:pPr>
      <w:r>
        <w:rPr>
          <w:rFonts w:ascii="宋体" w:hAnsi="宋体" w:hint="eastAsia"/>
          <w:bCs/>
          <w:sz w:val="24"/>
        </w:rPr>
        <w:t>要求投标人对投标文件有关事项作出澄清或者说明；</w:t>
      </w:r>
    </w:p>
    <w:p>
      <w:pPr>
        <w:pStyle w:val="ListParagraph"/>
        <w:widowControl/>
        <w:numPr>
          <w:ilvl w:val="0"/>
          <w:numId w:val="51"/>
        </w:numPr>
        <w:tabs>
          <w:tab w:val="left" w:pos="567"/>
        </w:tabs>
        <w:adjustRightInd w:val="0"/>
        <w:snapToGrid w:val="0"/>
        <w:spacing w:line="360" w:lineRule="auto"/>
        <w:ind w:hanging="136" w:firstLineChars="0"/>
        <w:jc w:val="left"/>
        <w:rPr>
          <w:rFonts w:ascii="宋体" w:hAnsi="宋体"/>
          <w:bCs/>
          <w:sz w:val="24"/>
        </w:rPr>
      </w:pPr>
      <w:r>
        <w:rPr>
          <w:rFonts w:ascii="宋体" w:hAnsi="宋体" w:hint="eastAsia"/>
          <w:bCs/>
          <w:sz w:val="24"/>
        </w:rPr>
        <w:t>对投标文件进行比较和评价；</w:t>
      </w:r>
    </w:p>
    <w:p>
      <w:pPr>
        <w:pStyle w:val="ListParagraph"/>
        <w:widowControl/>
        <w:numPr>
          <w:ilvl w:val="0"/>
          <w:numId w:val="51"/>
        </w:numPr>
        <w:tabs>
          <w:tab w:val="left" w:pos="567"/>
        </w:tabs>
        <w:adjustRightInd w:val="0"/>
        <w:snapToGrid w:val="0"/>
        <w:spacing w:line="360" w:lineRule="auto"/>
        <w:ind w:hanging="136" w:firstLineChars="0"/>
        <w:jc w:val="left"/>
        <w:rPr>
          <w:rFonts w:ascii="宋体" w:hAnsi="宋体"/>
          <w:bCs/>
          <w:sz w:val="24"/>
        </w:rPr>
      </w:pPr>
      <w:r>
        <w:rPr>
          <w:rFonts w:ascii="宋体" w:hAnsi="宋体" w:hint="eastAsia"/>
          <w:bCs/>
          <w:sz w:val="24"/>
        </w:rPr>
        <w:t>确定中标候选人名单，以及根据采购人委托直接确定中标人；</w:t>
      </w:r>
    </w:p>
    <w:p>
      <w:pPr>
        <w:pStyle w:val="ListParagraph"/>
        <w:widowControl/>
        <w:numPr>
          <w:ilvl w:val="0"/>
          <w:numId w:val="51"/>
        </w:numPr>
        <w:tabs>
          <w:tab w:val="left" w:pos="567"/>
        </w:tabs>
        <w:adjustRightInd w:val="0"/>
        <w:snapToGrid w:val="0"/>
        <w:spacing w:line="360" w:lineRule="auto"/>
        <w:ind w:hanging="136" w:firstLineChars="0"/>
        <w:jc w:val="left"/>
        <w:rPr>
          <w:rFonts w:ascii="宋体" w:hAnsi="宋体"/>
          <w:bCs/>
          <w:sz w:val="24"/>
        </w:rPr>
      </w:pPr>
      <w:r>
        <w:rPr>
          <w:rFonts w:ascii="宋体" w:hAnsi="宋体" w:hint="eastAsia"/>
          <w:bCs/>
          <w:sz w:val="24"/>
        </w:rPr>
        <w:t>向采购人、采购代理机构或者有关部门报告评标中发现的违法行为。</w:t>
      </w:r>
    </w:p>
    <w:p>
      <w:pPr>
        <w:pStyle w:val="ListParagraph"/>
        <w:widowControl/>
        <w:numPr>
          <w:ilvl w:val="0"/>
          <w:numId w:val="49"/>
        </w:numPr>
        <w:adjustRightInd w:val="0"/>
        <w:snapToGrid w:val="0"/>
        <w:spacing w:line="360" w:lineRule="auto"/>
        <w:ind w:left="709" w:hanging="703" w:firstLineChars="0"/>
        <w:jc w:val="left"/>
        <w:rPr>
          <w:rFonts w:ascii="宋体" w:hAnsi="宋体" w:cs="宋体"/>
          <w:sz w:val="24"/>
          <w:lang w:eastAsia="zh-TW"/>
        </w:rPr>
      </w:pPr>
      <w:r>
        <w:rPr>
          <w:rFonts w:ascii="宋体" w:hAnsi="宋体" w:cs="宋体" w:hint="eastAsia"/>
          <w:sz w:val="24"/>
          <w:lang w:eastAsia="zh-TW"/>
        </w:rPr>
        <w:t>对于投标文件中含义不明确、同类问题表述不一致或者有明显文字和计算错误的内容，评审委员会应当以书面形式要求投标人作出必要的澄清、说明或者补正。</w:t>
      </w:r>
    </w:p>
    <w:p>
      <w:pPr>
        <w:pStyle w:val="ListParagraph"/>
        <w:widowControl/>
        <w:numPr>
          <w:ilvl w:val="0"/>
          <w:numId w:val="49"/>
        </w:numPr>
        <w:adjustRightInd w:val="0"/>
        <w:snapToGrid w:val="0"/>
        <w:spacing w:line="360" w:lineRule="auto"/>
        <w:ind w:left="709" w:hanging="703" w:firstLineChars="0"/>
        <w:jc w:val="left"/>
        <w:rPr>
          <w:rFonts w:ascii="宋体" w:hAnsi="宋体" w:cs="宋体"/>
          <w:sz w:val="24"/>
          <w:lang w:eastAsia="zh-TW"/>
        </w:rPr>
      </w:pPr>
      <w:r>
        <w:rPr>
          <w:rFonts w:ascii="宋体" w:hAnsi="宋体" w:cs="宋体" w:hint="eastAsia"/>
          <w:sz w:val="24"/>
          <w:lang w:eastAsia="zh-TW"/>
        </w:rPr>
        <w:t>投标人的澄清、说明或者补正应当采用书面形式，并加盖公章，或者由法定代表人或其授权的代表签字。投标人的澄清、说明或者补正不得超出投标文件的范围或者改变投标文件的实质性内容。投标人的澄清文件是其投标文件的组成部分。</w:t>
      </w:r>
    </w:p>
    <w:p>
      <w:pPr>
        <w:pStyle w:val="ListParagraph"/>
        <w:widowControl/>
        <w:numPr>
          <w:ilvl w:val="0"/>
          <w:numId w:val="49"/>
        </w:numPr>
        <w:adjustRightInd w:val="0"/>
        <w:snapToGrid w:val="0"/>
        <w:spacing w:line="360" w:lineRule="auto"/>
        <w:ind w:left="709" w:hanging="703" w:firstLineChars="0"/>
        <w:jc w:val="left"/>
        <w:rPr>
          <w:rFonts w:ascii="宋体" w:hAnsi="宋体" w:cs="宋体"/>
          <w:sz w:val="24"/>
          <w:lang w:eastAsia="zh-TW"/>
        </w:rPr>
      </w:pPr>
      <w:r>
        <w:rPr>
          <w:rFonts w:ascii="宋体" w:hAnsi="宋体" w:cs="宋体" w:hint="eastAsia"/>
          <w:sz w:val="24"/>
          <w:lang w:eastAsia="zh-TW"/>
        </w:rPr>
        <w:t>评审委员会决定投标的响应性只根据投标文件中提供的材料内容，而不依据外部的材料证据。</w:t>
      </w:r>
    </w:p>
    <w:p>
      <w:pPr>
        <w:pStyle w:val="ListParagraph"/>
        <w:widowControl/>
        <w:numPr>
          <w:ilvl w:val="0"/>
          <w:numId w:val="48"/>
        </w:numPr>
        <w:adjustRightInd w:val="0"/>
        <w:snapToGrid w:val="0"/>
        <w:spacing w:line="360" w:lineRule="auto"/>
        <w:ind w:left="426" w:hanging="426" w:firstLineChars="0"/>
        <w:jc w:val="left"/>
        <w:rPr>
          <w:rFonts w:ascii="宋体" w:hAnsi="宋体"/>
          <w:b/>
          <w:bCs/>
          <w:sz w:val="24"/>
        </w:rPr>
      </w:pPr>
      <w:r>
        <w:rPr>
          <w:rFonts w:ascii="宋体" w:hAnsi="宋体" w:hint="eastAsia"/>
          <w:b/>
          <w:bCs/>
          <w:sz w:val="24"/>
        </w:rPr>
        <w:t>评标方法</w:t>
      </w:r>
    </w:p>
    <w:p>
      <w:pPr>
        <w:pStyle w:val="ListParagraph"/>
        <w:widowControl/>
        <w:numPr>
          <w:ilvl w:val="0"/>
          <w:numId w:val="52"/>
        </w:numPr>
        <w:adjustRightInd w:val="0"/>
        <w:snapToGrid w:val="0"/>
        <w:spacing w:line="360" w:lineRule="auto"/>
        <w:ind w:left="426" w:hanging="426" w:firstLineChars="0"/>
        <w:jc w:val="left"/>
        <w:rPr>
          <w:rFonts w:ascii="宋体" w:hAnsi="宋体"/>
          <w:sz w:val="24"/>
        </w:rPr>
      </w:pPr>
      <w:r>
        <w:rPr>
          <w:rFonts w:ascii="宋体" w:hAnsi="宋体" w:hint="eastAsia"/>
          <w:sz w:val="24"/>
        </w:rPr>
        <w:t>本项目按照</w:t>
      </w:r>
      <w:r>
        <w:rPr>
          <w:rFonts w:ascii="宋体" w:hAnsi="宋体" w:hint="eastAsia"/>
          <w:b/>
          <w:sz w:val="24"/>
        </w:rPr>
        <w:t>投标人须知前附表</w:t>
      </w:r>
      <w:r>
        <w:rPr>
          <w:rFonts w:ascii="宋体" w:hAnsi="宋体" w:hint="eastAsia"/>
          <w:sz w:val="24"/>
        </w:rPr>
        <w:t>规定的评标方法进行评审。</w:t>
      </w:r>
    </w:p>
    <w:p>
      <w:pPr>
        <w:pStyle w:val="ListParagraph"/>
        <w:widowControl/>
        <w:numPr>
          <w:ilvl w:val="0"/>
          <w:numId w:val="52"/>
        </w:numPr>
        <w:adjustRightInd w:val="0"/>
        <w:snapToGrid w:val="0"/>
        <w:spacing w:line="360" w:lineRule="auto"/>
        <w:ind w:left="426" w:hanging="426" w:firstLineChars="0"/>
        <w:jc w:val="left"/>
        <w:rPr>
          <w:rFonts w:ascii="宋体" w:hAnsi="宋体"/>
          <w:sz w:val="24"/>
        </w:rPr>
      </w:pPr>
      <w:r>
        <w:rPr>
          <w:rFonts w:hAnsi="宋体" w:hint="eastAsia"/>
          <w:sz w:val="24"/>
        </w:rPr>
        <w:t>综合评分法：</w:t>
      </w:r>
    </w:p>
    <w:p>
      <w:pPr>
        <w:pStyle w:val="ListParagraph"/>
        <w:widowControl/>
        <w:numPr>
          <w:ilvl w:val="0"/>
          <w:numId w:val="53"/>
        </w:numPr>
        <w:tabs>
          <w:tab w:val="left" w:pos="567"/>
        </w:tabs>
        <w:adjustRightInd w:val="0"/>
        <w:snapToGrid w:val="0"/>
        <w:spacing w:line="360" w:lineRule="auto"/>
        <w:ind w:left="567" w:hanging="283" w:firstLineChars="0"/>
        <w:jc w:val="left"/>
        <w:rPr>
          <w:rFonts w:ascii="宋体" w:hAnsi="宋体"/>
          <w:bCs/>
          <w:sz w:val="24"/>
        </w:rPr>
      </w:pPr>
      <w:r>
        <w:rPr>
          <w:rFonts w:ascii="宋体" w:hAnsi="宋体" w:hint="eastAsia"/>
          <w:bCs/>
          <w:sz w:val="24"/>
        </w:rPr>
        <w:t>综合评分法，是指投标文件满足招标文件全部实质性要求，且按照评审因素的量化指标评审得分最高的投标人为中标候选人的评标方法。</w:t>
      </w:r>
    </w:p>
    <w:p>
      <w:pPr>
        <w:pStyle w:val="ListParagraph"/>
        <w:widowControl/>
        <w:numPr>
          <w:ilvl w:val="0"/>
          <w:numId w:val="53"/>
        </w:numPr>
        <w:tabs>
          <w:tab w:val="left" w:pos="567"/>
        </w:tabs>
        <w:adjustRightInd w:val="0"/>
        <w:snapToGrid w:val="0"/>
        <w:spacing w:line="360" w:lineRule="auto"/>
        <w:ind w:hanging="136" w:firstLineChars="0"/>
        <w:jc w:val="left"/>
        <w:rPr>
          <w:rFonts w:ascii="宋体" w:hAnsi="宋体"/>
          <w:bCs/>
          <w:sz w:val="24"/>
        </w:rPr>
      </w:pPr>
      <w:r>
        <w:rPr>
          <w:rFonts w:ascii="宋体" w:hAnsi="宋体" w:hint="eastAsia"/>
          <w:bCs/>
          <w:sz w:val="24"/>
        </w:rPr>
        <w:t>评标步骤：</w:t>
      </w:r>
    </w:p>
    <w:p>
      <w:pPr>
        <w:pStyle w:val="ListParagraph"/>
        <w:widowControl/>
        <w:numPr>
          <w:ilvl w:val="0"/>
          <w:numId w:val="54"/>
        </w:numPr>
        <w:tabs>
          <w:tab w:val="left" w:pos="567"/>
        </w:tabs>
        <w:adjustRightInd w:val="0"/>
        <w:snapToGrid w:val="0"/>
        <w:spacing w:line="360" w:lineRule="auto"/>
        <w:ind w:left="567" w:hanging="284" w:firstLineChars="0"/>
        <w:jc w:val="left"/>
        <w:rPr>
          <w:rFonts w:ascii="宋体" w:cs="宋体"/>
          <w:sz w:val="24"/>
        </w:rPr>
      </w:pPr>
      <w:r>
        <w:rPr>
          <w:rFonts w:ascii="宋体" w:hAnsi="宋体" w:hint="eastAsia"/>
          <w:bCs/>
          <w:sz w:val="24"/>
        </w:rPr>
        <w:t>资格性审查：</w:t>
      </w:r>
      <w:r>
        <w:rPr>
          <w:rFonts w:ascii="宋体" w:cs="宋体" w:hint="eastAsia"/>
          <w:sz w:val="24"/>
        </w:rPr>
        <w:t>开标结束后，采购人或者采购代理机构依法对投标人的资格进行审查，详见《资格性审查表》。未通过资格性审查的投标人，不进入符合性审查。</w:t>
      </w:r>
    </w:p>
    <w:p>
      <w:pPr>
        <w:pStyle w:val="ListParagraph"/>
        <w:widowControl/>
        <w:numPr>
          <w:ilvl w:val="0"/>
          <w:numId w:val="54"/>
        </w:numPr>
        <w:tabs>
          <w:tab w:val="left" w:pos="426"/>
          <w:tab w:val="left" w:pos="567"/>
        </w:tabs>
        <w:adjustRightInd w:val="0"/>
        <w:snapToGrid w:val="0"/>
        <w:spacing w:line="360" w:lineRule="auto"/>
        <w:ind w:left="567" w:hanging="284" w:firstLineChars="0"/>
        <w:jc w:val="left"/>
        <w:rPr>
          <w:rFonts w:ascii="宋体" w:cs="宋体"/>
          <w:sz w:val="24"/>
        </w:rPr>
      </w:pPr>
      <w:r>
        <w:rPr>
          <w:rFonts w:ascii="宋体" w:cs="宋体" w:hint="eastAsia"/>
          <w:sz w:val="24"/>
        </w:rPr>
        <w:t>符合性审查：评审委员会应当对通过资格性审查的投标人的投标文件进行符合性审查，详见《符合性审查表》，以确定其是否满足招标文件的实质性要求。未通过符合性审查的投标人，不进入技术、商务和价格评审。</w:t>
      </w:r>
    </w:p>
    <w:p>
      <w:pPr>
        <w:pStyle w:val="ListParagraph"/>
        <w:widowControl/>
        <w:numPr>
          <w:ilvl w:val="0"/>
          <w:numId w:val="54"/>
        </w:numPr>
        <w:tabs>
          <w:tab w:val="left" w:pos="567"/>
        </w:tabs>
        <w:adjustRightInd w:val="0"/>
        <w:snapToGrid w:val="0"/>
        <w:spacing w:line="360" w:lineRule="auto"/>
        <w:ind w:left="567" w:hanging="283" w:firstLineChars="0"/>
        <w:jc w:val="left"/>
        <w:rPr>
          <w:rFonts w:ascii="宋体" w:cs="宋体"/>
          <w:sz w:val="24"/>
        </w:rPr>
      </w:pPr>
      <w:r>
        <w:rPr>
          <w:rFonts w:ascii="宋体" w:cs="宋体" w:hint="eastAsia"/>
          <w:sz w:val="24"/>
        </w:rPr>
        <w:t>详细评审：评审委员会对符合性审查合格的投标文件进行技术、商务评估，综合比较与评价。具体技术、商务、价格部分的评审因素详见《综合评分表》。</w:t>
      </w:r>
    </w:p>
    <w:p>
      <w:pPr>
        <w:pStyle w:val="ListParagraph"/>
        <w:widowControl/>
        <w:numPr>
          <w:ilvl w:val="0"/>
          <w:numId w:val="54"/>
        </w:numPr>
        <w:adjustRightInd w:val="0"/>
        <w:snapToGrid w:val="0"/>
        <w:spacing w:line="360" w:lineRule="auto"/>
        <w:ind w:left="567" w:hanging="283" w:firstLineChars="0"/>
        <w:jc w:val="left"/>
        <w:rPr>
          <w:rFonts w:ascii="宋体" w:hAnsi="宋体"/>
          <w:sz w:val="24"/>
        </w:rPr>
      </w:pPr>
      <w:r>
        <w:rPr>
          <w:rFonts w:ascii="宋体" w:hAnsi="宋体" w:hint="eastAsia"/>
          <w:sz w:val="24"/>
        </w:rPr>
        <w:t>评标过程中，不得去掉报价中的最高报价和最低报价。</w:t>
      </w:r>
    </w:p>
    <w:p>
      <w:pPr>
        <w:pStyle w:val="ListParagraph"/>
        <w:widowControl/>
        <w:numPr>
          <w:ilvl w:val="0"/>
          <w:numId w:val="54"/>
        </w:numPr>
        <w:adjustRightInd w:val="0"/>
        <w:snapToGrid w:val="0"/>
        <w:spacing w:line="360" w:lineRule="auto"/>
        <w:ind w:left="567" w:hanging="283" w:firstLineChars="0"/>
        <w:jc w:val="left"/>
        <w:rPr>
          <w:rFonts w:ascii="宋体" w:hAnsi="宋体"/>
          <w:sz w:val="24"/>
        </w:rPr>
      </w:pPr>
      <w:r>
        <w:rPr>
          <w:rFonts w:ascii="宋体" w:hAnsi="宋体" w:hint="eastAsia"/>
          <w:sz w:val="24"/>
        </w:rPr>
        <w:t>评标时，评审委员会各成员应当独立对每个投标人的投标文件进行评价，并汇总每个投标人的得分。</w:t>
      </w:r>
    </w:p>
    <w:p>
      <w:pPr>
        <w:pStyle w:val="ListParagraph"/>
        <w:widowControl/>
        <w:numPr>
          <w:ilvl w:val="0"/>
          <w:numId w:val="54"/>
        </w:numPr>
        <w:adjustRightInd w:val="0"/>
        <w:snapToGrid w:val="0"/>
        <w:spacing w:line="360" w:lineRule="auto"/>
        <w:ind w:left="567" w:hanging="283" w:firstLineChars="0"/>
        <w:jc w:val="left"/>
        <w:rPr>
          <w:rFonts w:ascii="宋体" w:hAnsi="宋体"/>
          <w:sz w:val="24"/>
        </w:rPr>
      </w:pPr>
      <w:r>
        <w:rPr>
          <w:rFonts w:ascii="宋体" w:hAnsi="宋体" w:hint="eastAsia"/>
          <w:sz w:val="24"/>
        </w:rPr>
        <w:t>综合得分=技术得分+商务得分+价格得分。</w:t>
      </w:r>
    </w:p>
    <w:p>
      <w:pPr>
        <w:pStyle w:val="ListParagraph"/>
        <w:widowControl/>
        <w:numPr>
          <w:ilvl w:val="0"/>
          <w:numId w:val="52"/>
        </w:numPr>
        <w:adjustRightInd w:val="0"/>
        <w:snapToGrid w:val="0"/>
        <w:spacing w:line="360" w:lineRule="auto"/>
        <w:ind w:left="426" w:hanging="426" w:firstLineChars="0"/>
        <w:jc w:val="left"/>
        <w:rPr>
          <w:rFonts w:hAnsi="宋体"/>
          <w:sz w:val="24"/>
        </w:rPr>
      </w:pPr>
      <w:r>
        <w:rPr>
          <w:rFonts w:hAnsi="宋体" w:hint="eastAsia"/>
          <w:sz w:val="24"/>
        </w:rPr>
        <w:t>最低评标价法</w:t>
      </w:r>
    </w:p>
    <w:p>
      <w:pPr>
        <w:pStyle w:val="ListParagraph"/>
        <w:widowControl/>
        <w:numPr>
          <w:ilvl w:val="1"/>
          <w:numId w:val="52"/>
        </w:numPr>
        <w:tabs>
          <w:tab w:val="left" w:pos="709"/>
        </w:tabs>
        <w:adjustRightInd w:val="0"/>
        <w:snapToGrid w:val="0"/>
        <w:spacing w:line="360" w:lineRule="auto"/>
        <w:ind w:left="426" w:hanging="283" w:firstLineChars="0"/>
        <w:jc w:val="left"/>
        <w:rPr>
          <w:rFonts w:ascii="宋体" w:hAnsi="宋体"/>
          <w:bCs/>
          <w:sz w:val="24"/>
        </w:rPr>
      </w:pPr>
      <w:r>
        <w:rPr>
          <w:rFonts w:ascii="宋体" w:hAnsi="宋体" w:hint="eastAsia"/>
          <w:bCs/>
          <w:sz w:val="24"/>
        </w:rPr>
        <w:t>最低评标价法，是指投标文件满足招标文件全部实质性要求，且投标报价最低的投标人为中标候选人的评标方法。</w:t>
      </w:r>
    </w:p>
    <w:p>
      <w:pPr>
        <w:pStyle w:val="ListParagraph"/>
        <w:widowControl/>
        <w:numPr>
          <w:ilvl w:val="1"/>
          <w:numId w:val="52"/>
        </w:numPr>
        <w:tabs>
          <w:tab w:val="left" w:pos="709"/>
        </w:tabs>
        <w:adjustRightInd w:val="0"/>
        <w:snapToGrid w:val="0"/>
        <w:spacing w:line="360" w:lineRule="auto"/>
        <w:ind w:left="426" w:hanging="283" w:firstLineChars="0"/>
        <w:jc w:val="left"/>
        <w:rPr>
          <w:rFonts w:ascii="宋体" w:hAnsi="宋体"/>
          <w:bCs/>
          <w:sz w:val="24"/>
        </w:rPr>
      </w:pPr>
      <w:r>
        <w:rPr>
          <w:rFonts w:ascii="宋体" w:hAnsi="宋体" w:hint="eastAsia"/>
          <w:bCs/>
          <w:sz w:val="24"/>
        </w:rPr>
        <w:t>评标步骤：</w:t>
      </w:r>
    </w:p>
    <w:p>
      <w:pPr>
        <w:pStyle w:val="ListParagraph"/>
        <w:widowControl/>
        <w:numPr>
          <w:ilvl w:val="0"/>
          <w:numId w:val="55"/>
        </w:numPr>
        <w:adjustRightInd w:val="0"/>
        <w:snapToGrid w:val="0"/>
        <w:spacing w:line="360" w:lineRule="auto"/>
        <w:ind w:left="851" w:hanging="425" w:firstLineChars="0"/>
        <w:jc w:val="left"/>
        <w:rPr>
          <w:rFonts w:ascii="宋体" w:hAnsi="宋体" w:cs="宋体"/>
          <w:sz w:val="24"/>
          <w:lang w:eastAsia="zh-TW"/>
        </w:rPr>
      </w:pPr>
      <w:r>
        <w:rPr>
          <w:rFonts w:ascii="宋体" w:hAnsi="宋体" w:cs="宋体" w:hint="eastAsia"/>
          <w:sz w:val="24"/>
          <w:lang w:eastAsia="zh-TW"/>
        </w:rPr>
        <w:t>资格性审查：开标结束后，采购人或者采购代理机构应当依法对投标人的资格进行审查，详见《资格性审查表》。未通过资格性审查的投标人，不进入符合性审查。</w:t>
      </w:r>
    </w:p>
    <w:p>
      <w:pPr>
        <w:pStyle w:val="ListParagraph"/>
        <w:widowControl/>
        <w:numPr>
          <w:ilvl w:val="0"/>
          <w:numId w:val="55"/>
        </w:numPr>
        <w:adjustRightInd w:val="0"/>
        <w:snapToGrid w:val="0"/>
        <w:spacing w:line="360" w:lineRule="auto"/>
        <w:ind w:left="851" w:hanging="425" w:firstLineChars="0"/>
        <w:jc w:val="left"/>
        <w:rPr>
          <w:rFonts w:ascii="宋体" w:hAnsi="宋体" w:cs="宋体"/>
          <w:sz w:val="24"/>
          <w:lang w:eastAsia="zh-TW"/>
        </w:rPr>
      </w:pPr>
      <w:r>
        <w:rPr>
          <w:rFonts w:ascii="宋体" w:hAnsi="宋体" w:cs="宋体" w:hint="eastAsia"/>
          <w:sz w:val="24"/>
          <w:lang w:eastAsia="zh-TW"/>
        </w:rPr>
        <w:t>符合性审查：评审委员会应当对通过资格性审查的投标人的投标文件进行符合性审查，详见《符合性审查表》，以确定其是否满足招标文件的实质性要求。未通过符合性审查的投标人，不进入价格评审。</w:t>
      </w:r>
    </w:p>
    <w:p>
      <w:pPr>
        <w:pStyle w:val="ListParagraph"/>
        <w:widowControl/>
        <w:numPr>
          <w:ilvl w:val="0"/>
          <w:numId w:val="52"/>
        </w:numPr>
        <w:adjustRightInd w:val="0"/>
        <w:snapToGrid w:val="0"/>
        <w:spacing w:line="360" w:lineRule="auto"/>
        <w:ind w:left="426" w:hanging="426" w:firstLineChars="0"/>
        <w:jc w:val="left"/>
        <w:rPr>
          <w:rFonts w:hAnsi="宋体"/>
          <w:sz w:val="24"/>
        </w:rPr>
      </w:pPr>
      <w:r>
        <w:rPr>
          <w:rFonts w:ascii="宋体" w:hAnsi="宋体" w:cs="宋体" w:hint="eastAsia"/>
          <w:sz w:val="24"/>
        </w:rPr>
        <w:t>除非</w:t>
      </w:r>
      <w:r>
        <w:rPr>
          <w:rFonts w:ascii="宋体" w:hAnsi="宋体" w:cs="黑体" w:hint="eastAsia"/>
          <w:b/>
          <w:sz w:val="24"/>
        </w:rPr>
        <w:t>投标人须知前附表</w:t>
      </w:r>
      <w:r>
        <w:rPr>
          <w:rFonts w:ascii="宋体" w:hAnsi="宋体" w:cs="宋体" w:hint="eastAsia"/>
          <w:sz w:val="24"/>
        </w:rPr>
        <w:t>中另有规定，</w:t>
      </w:r>
      <w:r>
        <w:rPr>
          <w:rFonts w:hAnsi="宋体" w:hint="eastAsia"/>
          <w:sz w:val="24"/>
        </w:rPr>
        <w:t>投标文件报价出现前后不一致的，按照下列规定修正：</w:t>
      </w:r>
    </w:p>
    <w:p>
      <w:pPr>
        <w:pStyle w:val="ListParagraph"/>
        <w:widowControl/>
        <w:numPr>
          <w:ilvl w:val="1"/>
          <w:numId w:val="52"/>
        </w:numPr>
        <w:tabs>
          <w:tab w:val="left" w:pos="709"/>
        </w:tabs>
        <w:adjustRightInd w:val="0"/>
        <w:snapToGrid w:val="0"/>
        <w:spacing w:line="360" w:lineRule="auto"/>
        <w:ind w:left="426" w:hanging="283" w:firstLineChars="0"/>
        <w:jc w:val="left"/>
        <w:rPr>
          <w:rFonts w:ascii="宋体" w:hAnsi="宋体"/>
          <w:bCs/>
          <w:sz w:val="24"/>
        </w:rPr>
      </w:pPr>
      <w:r>
        <w:rPr>
          <w:rFonts w:ascii="宋体" w:hAnsi="宋体" w:hint="eastAsia"/>
          <w:bCs/>
          <w:sz w:val="24"/>
        </w:rPr>
        <w:t>投标文件中开标一览表（报价表）内容与投标文件中相应内容不一致的，以开标一览表（报价表）为准；</w:t>
      </w:r>
    </w:p>
    <w:p>
      <w:pPr>
        <w:pStyle w:val="ListParagraph"/>
        <w:widowControl/>
        <w:numPr>
          <w:ilvl w:val="1"/>
          <w:numId w:val="52"/>
        </w:numPr>
        <w:tabs>
          <w:tab w:val="left" w:pos="709"/>
        </w:tabs>
        <w:adjustRightInd w:val="0"/>
        <w:snapToGrid w:val="0"/>
        <w:spacing w:line="360" w:lineRule="auto"/>
        <w:ind w:left="426" w:hanging="283" w:firstLineChars="0"/>
        <w:jc w:val="left"/>
        <w:rPr>
          <w:rFonts w:ascii="宋体" w:hAnsi="宋体"/>
          <w:bCs/>
          <w:sz w:val="24"/>
        </w:rPr>
      </w:pPr>
      <w:r>
        <w:rPr>
          <w:rFonts w:ascii="宋体" w:hAnsi="宋体" w:hint="eastAsia"/>
          <w:bCs/>
          <w:sz w:val="24"/>
        </w:rPr>
        <w:t>大写金额和小写金额不一致的，以大写金额为准；</w:t>
      </w:r>
    </w:p>
    <w:p>
      <w:pPr>
        <w:pStyle w:val="ListParagraph"/>
        <w:widowControl/>
        <w:numPr>
          <w:ilvl w:val="1"/>
          <w:numId w:val="52"/>
        </w:numPr>
        <w:tabs>
          <w:tab w:val="left" w:pos="709"/>
        </w:tabs>
        <w:adjustRightInd w:val="0"/>
        <w:snapToGrid w:val="0"/>
        <w:spacing w:line="360" w:lineRule="auto"/>
        <w:ind w:left="426" w:hanging="283" w:firstLineChars="0"/>
        <w:jc w:val="left"/>
        <w:rPr>
          <w:rFonts w:ascii="宋体" w:hAnsi="宋体"/>
          <w:bCs/>
          <w:sz w:val="24"/>
        </w:rPr>
      </w:pPr>
      <w:r>
        <w:rPr>
          <w:rFonts w:ascii="宋体" w:hAnsi="宋体" w:hint="eastAsia"/>
          <w:bCs/>
          <w:sz w:val="24"/>
        </w:rPr>
        <w:t>单价金额小数点或者百分比有明显错位的，以开标一览表的总价为准，并修改单价；</w:t>
      </w:r>
    </w:p>
    <w:p>
      <w:pPr>
        <w:pStyle w:val="ListParagraph"/>
        <w:widowControl/>
        <w:numPr>
          <w:ilvl w:val="1"/>
          <w:numId w:val="52"/>
        </w:numPr>
        <w:tabs>
          <w:tab w:val="left" w:pos="709"/>
        </w:tabs>
        <w:adjustRightInd w:val="0"/>
        <w:snapToGrid w:val="0"/>
        <w:spacing w:line="360" w:lineRule="auto"/>
        <w:ind w:left="426" w:hanging="283" w:firstLineChars="0"/>
        <w:jc w:val="left"/>
        <w:rPr>
          <w:rFonts w:ascii="宋体" w:hAnsi="宋体"/>
          <w:bCs/>
          <w:sz w:val="24"/>
        </w:rPr>
      </w:pPr>
      <w:r>
        <w:rPr>
          <w:rFonts w:ascii="宋体" w:hAnsi="宋体" w:hint="eastAsia"/>
          <w:bCs/>
          <w:sz w:val="24"/>
        </w:rPr>
        <w:t>总价金额与按单价汇总金额不一致的，以单价金额计算结果为准。</w:t>
      </w:r>
    </w:p>
    <w:p>
      <w:pPr>
        <w:widowControl/>
        <w:adjustRightInd w:val="0"/>
        <w:snapToGrid w:val="0"/>
        <w:spacing w:line="360" w:lineRule="auto"/>
        <w:ind w:firstLine="525" w:firstLineChars="250"/>
        <w:jc w:val="left"/>
        <w:rPr>
          <w:rFonts w:ascii="宋体" w:hAnsi="宋体" w:cs="宋体"/>
          <w:b/>
          <w:sz w:val="24"/>
        </w:rPr>
      </w:pPr>
      <w:r>
        <w:rPr>
          <w:rFonts w:ascii="宋体" w:hAnsi="宋体" w:cs="宋体" w:hint="eastAsia"/>
          <w:sz w:val="24"/>
          <w:lang w:eastAsia="zh-TW"/>
        </w:rPr>
        <w:t>同时出现两种以上不一致的，按照前款规定的顺序修正。修正后的报价按照</w:t>
      </w:r>
      <w:r>
        <w:rPr>
          <w:rFonts w:ascii="宋体" w:hAnsi="宋体" w:cs="宋体" w:hint="eastAsia"/>
          <w:sz w:val="24"/>
        </w:rPr>
        <w:t>本章“</w:t>
      </w:r>
      <w:r>
        <w:rPr>
          <w:rFonts w:ascii="宋体" w:hAnsi="宋体" w:cs="宋体" w:hint="eastAsia"/>
          <w:b/>
          <w:sz w:val="24"/>
        </w:rPr>
        <w:t>评审委员会组成及职责”</w:t>
      </w:r>
      <w:r>
        <w:rPr>
          <w:rFonts w:ascii="宋体" w:hAnsi="宋体" w:cs="宋体" w:hint="eastAsia"/>
          <w:sz w:val="24"/>
        </w:rPr>
        <w:t>第（6）点</w:t>
      </w:r>
      <w:r>
        <w:rPr>
          <w:rFonts w:ascii="宋体" w:hAnsi="宋体" w:cs="宋体" w:hint="eastAsia"/>
          <w:sz w:val="24"/>
          <w:lang w:eastAsia="zh-TW"/>
        </w:rPr>
        <w:t>的规定经投标人确认后产生约束力，投标人不确认的，其</w:t>
      </w:r>
      <w:r>
        <w:rPr>
          <w:rFonts w:ascii="宋体" w:hAnsi="宋体" w:cs="宋体" w:hint="eastAsia"/>
          <w:b/>
          <w:sz w:val="24"/>
          <w:lang w:eastAsia="zh-TW"/>
        </w:rPr>
        <w:t>投标无效</w:t>
      </w:r>
      <w:r>
        <w:rPr>
          <w:rFonts w:ascii="宋体" w:hAnsi="宋体" w:cs="宋体" w:hint="eastAsia"/>
          <w:b/>
          <w:sz w:val="24"/>
        </w:rPr>
        <w:t>。</w:t>
      </w:r>
    </w:p>
    <w:p>
      <w:pPr>
        <w:pStyle w:val="ListParagraph"/>
        <w:widowControl/>
        <w:numPr>
          <w:ilvl w:val="0"/>
          <w:numId w:val="52"/>
        </w:numPr>
        <w:adjustRightInd w:val="0"/>
        <w:snapToGrid w:val="0"/>
        <w:spacing w:line="360" w:lineRule="auto"/>
        <w:ind w:left="709" w:hanging="709" w:firstLineChars="0"/>
        <w:jc w:val="left"/>
        <w:rPr>
          <w:rFonts w:hAnsi="宋体"/>
          <w:sz w:val="24"/>
        </w:rPr>
      </w:pPr>
      <w:r>
        <w:rPr>
          <w:rFonts w:hAnsi="宋体" w:hint="eastAsia"/>
          <w:sz w:val="24"/>
        </w:rPr>
        <w:t>价格评审：除了算术修正和落实政府采购政策需进行的价格扣除外，不能对投标人的投标价格进行任何调整，详见《价格扣除》。</w:t>
      </w:r>
    </w:p>
    <w:p>
      <w:pPr>
        <w:pStyle w:val="ListParagraph"/>
        <w:widowControl/>
        <w:numPr>
          <w:ilvl w:val="0"/>
          <w:numId w:val="52"/>
        </w:numPr>
        <w:adjustRightInd w:val="0"/>
        <w:snapToGrid w:val="0"/>
        <w:spacing w:line="360" w:lineRule="auto"/>
        <w:ind w:left="709" w:hanging="709" w:firstLineChars="0"/>
        <w:jc w:val="left"/>
        <w:rPr>
          <w:rFonts w:hAnsi="宋体"/>
          <w:sz w:val="24"/>
        </w:rPr>
      </w:pPr>
      <w:r>
        <w:rPr>
          <w:rFonts w:hAnsi="宋体" w:hint="eastAsia"/>
          <w:sz w:val="24"/>
        </w:rPr>
        <w:t>评审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审委员会应当将其作为无效投标处理。若评审委员会成员对是否须由投标人作出报价合理性说明，以及书面说明是否采纳等判断不一致的，按照“少数服从多数”的原则确定评审委员会的意见。投标人</w:t>
      </w:r>
      <w:r>
        <w:rPr>
          <w:rFonts w:hAnsi="宋体"/>
          <w:sz w:val="24"/>
        </w:rPr>
        <w:t>提供报价合理性说明的方式，包括但不限于现场提交、电邮提交方式。</w:t>
      </w:r>
    </w:p>
    <w:p>
      <w:pPr>
        <w:pStyle w:val="ListParagraph"/>
        <w:widowControl/>
        <w:numPr>
          <w:ilvl w:val="0"/>
          <w:numId w:val="52"/>
        </w:numPr>
        <w:adjustRightInd w:val="0"/>
        <w:snapToGrid w:val="0"/>
        <w:spacing w:line="360" w:lineRule="auto"/>
        <w:ind w:left="709" w:hanging="709" w:firstLineChars="0"/>
        <w:jc w:val="left"/>
        <w:rPr>
          <w:rFonts w:hAnsi="宋体"/>
          <w:sz w:val="24"/>
        </w:rPr>
      </w:pPr>
      <w:r>
        <w:rPr>
          <w:rFonts w:hAnsi="宋体" w:hint="eastAsia"/>
          <w:sz w:val="24"/>
        </w:rPr>
        <w:t>评审委员会成员对需要共同认定的事项存在争议的，应当按照少数服从多数的原则作出结论。持不同意见的评审委员会成员应当在评标报告上签署不同意见及理由，否则视为同意评标报告。</w:t>
      </w:r>
    </w:p>
    <w:p>
      <w:pPr>
        <w:numPr>
          <w:ilvl w:val="0"/>
          <w:numId w:val="47"/>
        </w:numPr>
        <w:autoSpaceDE w:val="0"/>
        <w:autoSpaceDN w:val="0"/>
        <w:adjustRightInd w:val="0"/>
        <w:snapToGrid w:val="0"/>
        <w:spacing w:line="360" w:lineRule="auto"/>
        <w:ind w:left="487" w:hanging="424" w:hangingChars="202"/>
        <w:outlineLvl w:val="3"/>
        <w:rPr>
          <w:rFonts w:hAnsi="宋体"/>
          <w:b/>
          <w:sz w:val="24"/>
        </w:rPr>
      </w:pPr>
      <w:r>
        <w:rPr>
          <w:rFonts w:hAnsi="宋体" w:hint="eastAsia"/>
          <w:b/>
          <w:sz w:val="24"/>
        </w:rPr>
        <w:t>推荐中标候选人</w:t>
      </w:r>
    </w:p>
    <w:p>
      <w:pPr>
        <w:pStyle w:val="ListParagraph"/>
        <w:widowControl/>
        <w:numPr>
          <w:ilvl w:val="0"/>
          <w:numId w:val="56"/>
        </w:numPr>
        <w:spacing w:line="360" w:lineRule="auto"/>
        <w:ind w:left="426" w:hanging="426" w:firstLineChars="0"/>
        <w:jc w:val="left"/>
        <w:rPr>
          <w:rFonts w:ascii="宋体" w:hAnsi="宋体" w:cs="宋体"/>
          <w:sz w:val="24"/>
          <w:lang w:eastAsia="zh-TW"/>
        </w:rPr>
      </w:pPr>
      <w:r>
        <w:rPr>
          <w:rFonts w:hAnsi="宋体" w:hint="eastAsia"/>
          <w:b/>
          <w:sz w:val="24"/>
        </w:rPr>
        <w:t>综合评分法</w:t>
      </w:r>
    </w:p>
    <w:p>
      <w:pPr>
        <w:pStyle w:val="ListParagraph"/>
        <w:widowControl/>
        <w:numPr>
          <w:ilvl w:val="1"/>
          <w:numId w:val="56"/>
        </w:numPr>
        <w:spacing w:line="360" w:lineRule="auto"/>
        <w:ind w:left="567" w:hanging="567" w:firstLineChars="0"/>
        <w:jc w:val="left"/>
        <w:rPr>
          <w:rFonts w:ascii="宋体" w:hAnsi="宋体" w:cs="宋体"/>
          <w:sz w:val="24"/>
          <w:lang w:eastAsia="zh-TW"/>
        </w:rPr>
      </w:pPr>
      <w:r>
        <w:rPr>
          <w:rFonts w:ascii="宋体" w:hAnsi="宋体" w:cs="宋体" w:hint="eastAsia"/>
          <w:sz w:val="24"/>
          <w:lang w:eastAsia="zh-TW"/>
        </w:rPr>
        <w:t>使用综合评分法的采购项目，单一产品采购</w:t>
      </w:r>
      <w:r>
        <w:rPr>
          <w:rFonts w:ascii="宋体" w:hAnsi="宋体" w:hint="eastAsia"/>
          <w:sz w:val="24"/>
        </w:rPr>
        <w:t>项目</w:t>
      </w:r>
      <w:r>
        <w:rPr>
          <w:rFonts w:ascii="宋体" w:hAnsi="宋体" w:cs="宋体" w:hint="eastAsia"/>
          <w:sz w:val="24"/>
          <w:lang w:eastAsia="zh-TW"/>
        </w:rPr>
        <w:t>提供相同品牌产品或</w:t>
      </w:r>
      <w:r>
        <w:rPr>
          <w:rFonts w:ascii="宋体" w:hAnsi="宋体" w:hint="eastAsia"/>
          <w:sz w:val="24"/>
        </w:rPr>
        <w:t>非单一产品采购项目多家投标人提供的核心产品品牌相同的，</w:t>
      </w:r>
      <w:r>
        <w:rPr>
          <w:rFonts w:ascii="宋体" w:hAnsi="宋体" w:cs="宋体" w:hint="eastAsia"/>
          <w:sz w:val="24"/>
          <w:lang w:eastAsia="zh-TW"/>
        </w:rPr>
        <w:t>且通过资格审查、符合性审查的不同投标人参加同一合同项下投标的，按一家投标人计算，评审后得分最高的同品牌投标人获得中标人推荐资格；评审得分相同的，按投标报价由低到高顺序排列；得分且投标报价相同的，由采购人委托评审委员会采取随机抽取方式确定，其他同品牌投标人不作为中标候选人。</w:t>
      </w:r>
    </w:p>
    <w:p>
      <w:pPr>
        <w:pStyle w:val="ListParagraph"/>
        <w:widowControl/>
        <w:numPr>
          <w:ilvl w:val="1"/>
          <w:numId w:val="56"/>
        </w:numPr>
        <w:spacing w:line="360" w:lineRule="auto"/>
        <w:ind w:left="567" w:hanging="567" w:firstLineChars="0"/>
        <w:jc w:val="left"/>
        <w:rPr>
          <w:rFonts w:ascii="宋体" w:hAnsi="宋体" w:cs="宋体"/>
          <w:sz w:val="24"/>
          <w:lang w:eastAsia="zh-TW"/>
        </w:rPr>
      </w:pPr>
      <w:r>
        <w:rPr>
          <w:rFonts w:ascii="宋体" w:hAnsi="宋体" w:hint="eastAsia"/>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pStyle w:val="ListParagraph"/>
        <w:widowControl/>
        <w:numPr>
          <w:ilvl w:val="0"/>
          <w:numId w:val="56"/>
        </w:numPr>
        <w:adjustRightInd w:val="0"/>
        <w:snapToGrid w:val="0"/>
        <w:spacing w:line="360" w:lineRule="auto"/>
        <w:ind w:left="426" w:hanging="426" w:firstLineChars="0"/>
        <w:jc w:val="left"/>
        <w:rPr>
          <w:rFonts w:ascii="宋体" w:hAnsi="宋体"/>
          <w:b/>
          <w:sz w:val="24"/>
        </w:rPr>
      </w:pPr>
      <w:r>
        <w:rPr>
          <w:rFonts w:ascii="宋体" w:hAnsi="宋体" w:hint="eastAsia"/>
          <w:b/>
          <w:sz w:val="24"/>
        </w:rPr>
        <w:t>最低评标价法：</w:t>
      </w:r>
    </w:p>
    <w:p>
      <w:pPr>
        <w:pStyle w:val="ListParagraph"/>
        <w:widowControl/>
        <w:numPr>
          <w:ilvl w:val="1"/>
          <w:numId w:val="56"/>
        </w:numPr>
        <w:adjustRightInd w:val="0"/>
        <w:snapToGrid w:val="0"/>
        <w:spacing w:line="360" w:lineRule="auto"/>
        <w:ind w:left="567" w:hanging="567" w:firstLineChars="0"/>
        <w:jc w:val="left"/>
        <w:rPr>
          <w:rFonts w:ascii="宋体" w:hAnsi="宋体" w:cs="宋体"/>
          <w:sz w:val="24"/>
          <w:lang w:eastAsia="zh-TW"/>
        </w:rPr>
      </w:pPr>
      <w:r>
        <w:rPr>
          <w:rFonts w:ascii="宋体" w:hAnsi="宋体" w:cs="宋体" w:hint="eastAsia"/>
          <w:sz w:val="24"/>
          <w:lang w:eastAsia="zh-TW"/>
        </w:rPr>
        <w:t>采用最低评标价法的采购项目，单一产品采购</w:t>
      </w:r>
      <w:r>
        <w:rPr>
          <w:rFonts w:ascii="宋体" w:hAnsi="宋体" w:hint="eastAsia"/>
          <w:sz w:val="24"/>
        </w:rPr>
        <w:t>项目</w:t>
      </w:r>
      <w:r>
        <w:rPr>
          <w:rFonts w:ascii="宋体" w:hAnsi="宋体" w:cs="宋体" w:hint="eastAsia"/>
          <w:sz w:val="24"/>
          <w:lang w:eastAsia="zh-TW"/>
        </w:rPr>
        <w:t>提供相同品牌产品的不同投标人参加同一合同项下投标的或</w:t>
      </w:r>
      <w:r>
        <w:rPr>
          <w:rFonts w:ascii="宋体" w:hAnsi="宋体" w:hint="eastAsia"/>
          <w:sz w:val="24"/>
        </w:rPr>
        <w:t>非单一产品采购项目多家投标人提供的核心产品品牌相同的</w:t>
      </w:r>
      <w:r>
        <w:rPr>
          <w:rFonts w:ascii="宋体" w:hAnsi="宋体" w:cs="宋体" w:hint="eastAsia"/>
          <w:sz w:val="24"/>
          <w:lang w:eastAsia="zh-TW"/>
        </w:rPr>
        <w:t>，以其中通过资格审查、符合性审查且报价最低的参加评标；报价相同的，由评审委员会采取随机抽取方式确定，</w:t>
      </w:r>
      <w:r>
        <w:rPr>
          <w:rFonts w:ascii="宋体" w:hAnsi="宋体" w:cs="宋体" w:hint="eastAsia"/>
          <w:b/>
          <w:sz w:val="24"/>
          <w:lang w:eastAsia="zh-TW"/>
        </w:rPr>
        <w:t>其他投标无效</w:t>
      </w:r>
      <w:r>
        <w:rPr>
          <w:rFonts w:ascii="宋体" w:hAnsi="宋体" w:cs="宋体" w:hint="eastAsia"/>
          <w:sz w:val="24"/>
          <w:lang w:eastAsia="zh-TW"/>
        </w:rPr>
        <w:t>。</w:t>
      </w:r>
    </w:p>
    <w:p>
      <w:pPr>
        <w:pStyle w:val="ListParagraph"/>
        <w:widowControl/>
        <w:numPr>
          <w:ilvl w:val="1"/>
          <w:numId w:val="56"/>
        </w:numPr>
        <w:adjustRightInd w:val="0"/>
        <w:snapToGrid w:val="0"/>
        <w:spacing w:line="360" w:lineRule="auto"/>
        <w:ind w:left="567" w:hanging="567" w:firstLineChars="0"/>
        <w:jc w:val="left"/>
        <w:rPr>
          <w:rFonts w:ascii="宋体" w:hAnsi="宋体" w:cs="宋体"/>
          <w:sz w:val="24"/>
          <w:lang w:eastAsia="zh-TW"/>
        </w:rPr>
      </w:pPr>
      <w:r>
        <w:rPr>
          <w:rFonts w:ascii="宋体" w:hAnsi="宋体" w:hint="eastAsia"/>
          <w:sz w:val="24"/>
        </w:rPr>
        <w:t>采用最低评标价法的，评标结果按投标报价由低到高顺序排列。投标报价相同的并列。投标文件满足招标文件全部实质性要求且投标报价最低的投标人为排名第一的中标候选人。</w:t>
      </w:r>
    </w:p>
    <w:p>
      <w:pPr>
        <w:pStyle w:val="ListParagraph"/>
        <w:widowControl/>
        <w:numPr>
          <w:ilvl w:val="0"/>
          <w:numId w:val="56"/>
        </w:numPr>
        <w:adjustRightInd w:val="0"/>
        <w:snapToGrid w:val="0"/>
        <w:spacing w:line="360" w:lineRule="auto"/>
        <w:ind w:left="426" w:hanging="426" w:firstLineChars="0"/>
        <w:jc w:val="left"/>
        <w:rPr>
          <w:rFonts w:ascii="宋体" w:hAnsi="宋体"/>
          <w:sz w:val="24"/>
        </w:rPr>
      </w:pPr>
      <w:r>
        <w:rPr>
          <w:rFonts w:ascii="宋体" w:hAnsi="宋体" w:hint="eastAsia"/>
          <w:sz w:val="24"/>
        </w:rPr>
        <w:t>本项目按照</w:t>
      </w:r>
      <w:r>
        <w:rPr>
          <w:rFonts w:ascii="宋体" w:hAnsi="宋体" w:hint="eastAsia"/>
          <w:b/>
          <w:sz w:val="24"/>
        </w:rPr>
        <w:t>投标人须知前附表</w:t>
      </w:r>
      <w:r>
        <w:rPr>
          <w:rFonts w:ascii="宋体" w:hAnsi="宋体" w:hint="eastAsia"/>
          <w:sz w:val="24"/>
        </w:rPr>
        <w:t>规定的方式推荐中标候选人。</w:t>
      </w:r>
    </w:p>
    <w:p>
      <w:pPr>
        <w:numPr>
          <w:ilvl w:val="0"/>
          <w:numId w:val="47"/>
        </w:numPr>
        <w:autoSpaceDE w:val="0"/>
        <w:autoSpaceDN w:val="0"/>
        <w:adjustRightInd w:val="0"/>
        <w:snapToGrid w:val="0"/>
        <w:spacing w:line="360" w:lineRule="auto"/>
        <w:ind w:left="487" w:hanging="424" w:hangingChars="202"/>
        <w:outlineLvl w:val="3"/>
        <w:rPr>
          <w:rFonts w:ascii="宋体" w:hAnsi="宋体"/>
          <w:b/>
          <w:bCs/>
          <w:sz w:val="24"/>
        </w:rPr>
      </w:pPr>
      <w:r>
        <w:rPr>
          <w:rFonts w:ascii="宋体" w:hAnsi="宋体" w:hint="eastAsia"/>
          <w:b/>
          <w:bCs/>
          <w:sz w:val="24"/>
        </w:rPr>
        <w:t>确定中标人</w:t>
      </w:r>
    </w:p>
    <w:p>
      <w:pPr>
        <w:autoSpaceDE w:val="0"/>
        <w:autoSpaceDN w:val="0"/>
        <w:adjustRightInd w:val="0"/>
        <w:snapToGrid w:val="0"/>
        <w:spacing w:line="360" w:lineRule="auto"/>
        <w:outlineLvl w:val="3"/>
        <w:rPr>
          <w:rFonts w:ascii="宋体" w:hAnsi="宋体"/>
          <w:b/>
          <w:bCs/>
          <w:sz w:val="24"/>
        </w:rPr>
      </w:pPr>
      <w:bookmarkStart w:id="112" w:name="_Hlk30667074"/>
      <w:r>
        <w:rPr>
          <w:rFonts w:ascii="宋体" w:hAnsi="宋体" w:hint="eastAsia"/>
          <w:b/>
          <w:bCs/>
          <w:sz w:val="24"/>
        </w:rPr>
        <w:t>非评定分离项目</w:t>
      </w:r>
    </w:p>
    <w:p>
      <w:pPr>
        <w:pStyle w:val="ListParagraph"/>
        <w:widowControl/>
        <w:numPr>
          <w:ilvl w:val="0"/>
          <w:numId w:val="57"/>
        </w:numPr>
        <w:adjustRightInd w:val="0"/>
        <w:snapToGrid w:val="0"/>
        <w:spacing w:line="360" w:lineRule="auto"/>
        <w:ind w:left="426" w:hanging="426" w:firstLineChars="0"/>
        <w:jc w:val="left"/>
        <w:rPr>
          <w:rFonts w:ascii="宋体" w:hAnsi="宋体"/>
          <w:strike/>
          <w:color w:val="00B0F0"/>
          <w:sz w:val="24"/>
        </w:rPr>
      </w:pPr>
      <w:r>
        <w:rPr>
          <w:rFonts w:ascii="宋体" w:hAnsi="宋体" w:hint="eastAsia"/>
          <w:color w:val="000000" w:themeColor="text1"/>
          <w:sz w:val="24"/>
          <w14:textFill>
            <w14:solidFill>
              <w14:schemeClr w14:val="tx1"/>
            </w14:solidFill>
          </w14:textFill>
        </w:rPr>
        <w:t>中标候选人并列的，按</w:t>
      </w:r>
      <w:r>
        <w:rPr>
          <w:rFonts w:ascii="宋体" w:hAnsi="宋体" w:hint="eastAsia"/>
          <w:b/>
          <w:color w:val="000000" w:themeColor="text1"/>
          <w:sz w:val="24"/>
          <w14:textFill>
            <w14:solidFill>
              <w14:schemeClr w14:val="tx1"/>
            </w14:solidFill>
          </w14:textFill>
        </w:rPr>
        <w:t>投标人须知前附表</w:t>
      </w:r>
      <w:r>
        <w:rPr>
          <w:rFonts w:ascii="宋体" w:hAnsi="宋体" w:hint="eastAsia"/>
          <w:color w:val="000000" w:themeColor="text1"/>
          <w:sz w:val="24"/>
          <w14:textFill>
            <w14:solidFill>
              <w14:schemeClr w14:val="tx1"/>
            </w14:solidFill>
          </w14:textFill>
        </w:rPr>
        <w:t>规定确定中标人。</w:t>
      </w:r>
    </w:p>
    <w:p>
      <w:pPr>
        <w:pStyle w:val="ListParagraph"/>
        <w:widowControl/>
        <w:numPr>
          <w:ilvl w:val="0"/>
          <w:numId w:val="57"/>
        </w:numPr>
        <w:adjustRightInd w:val="0"/>
        <w:snapToGrid w:val="0"/>
        <w:spacing w:line="360" w:lineRule="auto"/>
        <w:ind w:left="426" w:hanging="426" w:firstLineChars="0"/>
        <w:jc w:val="left"/>
        <w:rPr>
          <w:rFonts w:ascii="宋体" w:hAnsi="宋体"/>
          <w:color w:val="000000" w:themeColor="text1"/>
          <w:sz w:val="24"/>
          <w14:textFill>
            <w14:solidFill>
              <w14:schemeClr w14:val="tx1"/>
            </w14:solidFill>
          </w14:textFill>
        </w:rPr>
      </w:pPr>
      <w:r>
        <w:rPr>
          <w:rFonts w:ascii="宋体" w:hAnsi="宋体" w:hint="eastAsia"/>
          <w:sz w:val="24"/>
        </w:rPr>
        <w:t>采购代理机构</w:t>
      </w:r>
      <w:r>
        <w:rPr>
          <w:rFonts w:ascii="宋体" w:hAnsi="宋体"/>
          <w:sz w:val="24"/>
        </w:rPr>
        <w:t>提</w:t>
      </w:r>
      <w:r>
        <w:rPr>
          <w:rFonts w:ascii="宋体" w:hAnsi="宋体" w:hint="eastAsia"/>
          <w:sz w:val="24"/>
        </w:rPr>
        <w:t>交</w:t>
      </w:r>
      <w:r>
        <w:rPr>
          <w:rFonts w:ascii="宋体" w:hAnsi="宋体"/>
          <w:sz w:val="24"/>
        </w:rPr>
        <w:t>评</w:t>
      </w:r>
      <w:r>
        <w:rPr>
          <w:rFonts w:ascii="宋体" w:hAnsi="宋体" w:hint="eastAsia"/>
          <w:sz w:val="24"/>
        </w:rPr>
        <w:t>标</w:t>
      </w:r>
      <w:r>
        <w:rPr>
          <w:rFonts w:ascii="宋体" w:hAnsi="宋体"/>
          <w:sz w:val="24"/>
        </w:rPr>
        <w:t>报告报</w:t>
      </w:r>
      <w:r>
        <w:rPr>
          <w:rFonts w:ascii="宋体" w:hAnsi="宋体" w:hint="eastAsia"/>
          <w:sz w:val="24"/>
        </w:rPr>
        <w:t>采购</w:t>
      </w:r>
      <w:r>
        <w:rPr>
          <w:rFonts w:ascii="宋体" w:hAnsi="宋体"/>
          <w:sz w:val="24"/>
        </w:rPr>
        <w:t>人</w:t>
      </w:r>
      <w:r>
        <w:rPr>
          <w:rFonts w:ascii="宋体" w:hAnsi="宋体" w:hint="eastAsia"/>
          <w:sz w:val="24"/>
        </w:rPr>
        <w:t>确认，采购人在收到评标报告</w:t>
      </w:r>
      <w:r>
        <w:rPr>
          <w:rFonts w:ascii="宋体" w:hAnsi="宋体"/>
          <w:sz w:val="24"/>
        </w:rPr>
        <w:t>3</w:t>
      </w:r>
      <w:r>
        <w:rPr>
          <w:rFonts w:ascii="宋体" w:hAnsi="宋体" w:hint="eastAsia"/>
          <w:sz w:val="24"/>
        </w:rPr>
        <w:t>个工作日内确定中标人，按照评标报告中确定的中标候选人顺序确定中标人，也可以事先授权评审委员会直接确定中标人。</w:t>
      </w:r>
    </w:p>
    <w:p>
      <w:pPr>
        <w:pStyle w:val="ListParagraph"/>
        <w:widowControl/>
        <w:numPr>
          <w:ilvl w:val="0"/>
          <w:numId w:val="57"/>
        </w:numPr>
        <w:adjustRightInd w:val="0"/>
        <w:snapToGrid w:val="0"/>
        <w:spacing w:line="360" w:lineRule="auto"/>
        <w:ind w:left="426" w:hanging="426" w:firstLineChars="0"/>
        <w:jc w:val="left"/>
        <w:rPr>
          <w:rFonts w:ascii="宋体" w:hAnsi="宋体"/>
          <w:color w:val="auto"/>
          <w:sz w:val="24"/>
          <w:highlight w:val="none"/>
        </w:rPr>
      </w:pPr>
      <w:r>
        <w:rPr>
          <w:rFonts w:ascii="宋体" w:hAnsi="宋体" w:hint="eastAsia"/>
          <w:color w:val="000000" w:themeColor="text1"/>
          <w:sz w:val="24"/>
          <w14:textFill>
            <w14:solidFill>
              <w14:schemeClr w14:val="tx1"/>
            </w14:solidFill>
          </w14:textFill>
        </w:rPr>
        <w:t>中标</w:t>
      </w:r>
      <w:r>
        <w:rPr>
          <w:rFonts w:ascii="宋体" w:hAnsi="宋体" w:hint="eastAsia"/>
          <w:color w:val="000000" w:themeColor="text1"/>
          <w:sz w:val="24"/>
          <w:highlight w:val="none"/>
          <w14:textFill>
            <w14:solidFill>
              <w14:schemeClr w14:val="tx1"/>
            </w14:solidFill>
          </w14:textFill>
        </w:rPr>
        <w:t>人拒绝与采购人签</w:t>
      </w:r>
      <w:r>
        <w:rPr>
          <w:rFonts w:ascii="宋体" w:hAnsi="宋体" w:hint="eastAsia"/>
          <w:color w:val="auto"/>
          <w:sz w:val="24"/>
          <w:highlight w:val="none"/>
        </w:rPr>
        <w:t>订合同的，采购人可以按照评标报告推荐的中标候选人名单排序，确定下一候选人为中标人，也可以重新开展政府采购活动。</w:t>
      </w:r>
    </w:p>
    <w:p>
      <w:pPr>
        <w:pStyle w:val="ListParagraph"/>
        <w:widowControl/>
        <w:numPr>
          <w:ilvl w:val="0"/>
          <w:numId w:val="57"/>
        </w:numPr>
        <w:adjustRightInd w:val="0"/>
        <w:snapToGrid w:val="0"/>
        <w:spacing w:line="360" w:lineRule="auto"/>
        <w:ind w:left="426" w:hanging="426" w:firstLineChars="0"/>
        <w:jc w:val="left"/>
        <w:rPr>
          <w:rFonts w:ascii="宋体" w:hAnsi="宋体"/>
          <w:color w:val="auto"/>
          <w:sz w:val="24"/>
          <w:highlight w:val="none"/>
        </w:rPr>
      </w:pPr>
      <w:r>
        <w:rPr>
          <w:rFonts w:ascii="宋体" w:hAnsi="宋体" w:hint="eastAsia"/>
          <w:color w:val="auto"/>
          <w:sz w:val="24"/>
          <w:highlight w:val="none"/>
        </w:rPr>
        <w:t>招标文件明确评审得分最高的投标人为唯一中标候选人的，如唯一中标候选人被认定投标或中标无效，采购人应当重新开展采购活动。</w:t>
      </w:r>
    </w:p>
    <w:p>
      <w:pPr>
        <w:autoSpaceDE w:val="0"/>
        <w:autoSpaceDN w:val="0"/>
        <w:adjustRightInd w:val="0"/>
        <w:snapToGrid w:val="0"/>
        <w:spacing w:line="360" w:lineRule="auto"/>
        <w:outlineLvl w:val="3"/>
        <w:rPr>
          <w:rFonts w:ascii="宋体" w:hAnsi="宋体"/>
          <w:b/>
          <w:bCs/>
          <w:color w:val="auto"/>
          <w:sz w:val="24"/>
          <w:highlight w:val="none"/>
        </w:rPr>
      </w:pPr>
      <w:r>
        <w:rPr>
          <w:rFonts w:ascii="宋体" w:hAnsi="宋体" w:hint="eastAsia"/>
          <w:b/>
          <w:bCs/>
          <w:color w:val="auto"/>
          <w:sz w:val="24"/>
          <w:highlight w:val="none"/>
        </w:rPr>
        <w:t>评定分离项目</w:t>
      </w:r>
    </w:p>
    <w:p>
      <w:pPr>
        <w:pStyle w:val="ListParagraph"/>
        <w:widowControl/>
        <w:numPr>
          <w:ilvl w:val="0"/>
          <w:numId w:val="58"/>
        </w:numPr>
        <w:adjustRightInd w:val="0"/>
        <w:snapToGrid w:val="0"/>
        <w:spacing w:line="360" w:lineRule="auto"/>
        <w:ind w:left="426" w:hanging="426" w:firstLineChars="0"/>
        <w:jc w:val="left"/>
        <w:rPr>
          <w:rFonts w:ascii="宋体" w:hAnsi="宋体"/>
          <w:strike/>
          <w:color w:val="auto"/>
          <w:sz w:val="24"/>
          <w:highlight w:val="none"/>
        </w:rPr>
      </w:pPr>
      <w:r>
        <w:rPr>
          <w:rFonts w:ascii="宋体" w:hAnsi="宋体" w:hint="eastAsia"/>
          <w:color w:val="auto"/>
          <w:sz w:val="24"/>
          <w:highlight w:val="none"/>
        </w:rPr>
        <w:t>按</w:t>
      </w:r>
      <w:r>
        <w:rPr>
          <w:rFonts w:ascii="宋体" w:hAnsi="宋体" w:hint="eastAsia"/>
          <w:b/>
          <w:color w:val="auto"/>
          <w:sz w:val="24"/>
          <w:highlight w:val="none"/>
        </w:rPr>
        <w:t>投标人须知前附表</w:t>
      </w:r>
      <w:r>
        <w:rPr>
          <w:rFonts w:ascii="宋体" w:hAnsi="宋体" w:hint="eastAsia"/>
          <w:color w:val="auto"/>
          <w:sz w:val="24"/>
          <w:highlight w:val="none"/>
        </w:rPr>
        <w:t>规定确定中标人。</w:t>
      </w:r>
    </w:p>
    <w:p>
      <w:pPr>
        <w:pStyle w:val="ListParagraph"/>
        <w:widowControl/>
        <w:adjustRightInd w:val="0"/>
        <w:snapToGrid w:val="0"/>
        <w:spacing w:line="360" w:lineRule="auto"/>
        <w:ind w:firstLine="480"/>
        <w:jc w:val="left"/>
        <w:rPr>
          <w:rFonts w:ascii="宋体" w:hAnsi="宋体"/>
          <w:bCs/>
          <w:sz w:val="24"/>
        </w:rPr>
      </w:pPr>
      <w:r>
        <w:rPr>
          <w:rFonts w:ascii="宋体" w:hAnsi="宋体" w:hint="eastAsia"/>
          <w:bCs/>
          <w:color w:val="auto"/>
          <w:sz w:val="24"/>
          <w:highlight w:val="none"/>
        </w:rPr>
        <w:t>采用自定法：采购人应当自</w:t>
      </w:r>
      <w:r>
        <w:rPr>
          <w:rFonts w:ascii="宋体" w:hAnsi="宋体" w:hint="eastAsia"/>
          <w:bCs/>
          <w:color w:val="000000" w:themeColor="text1"/>
          <w:sz w:val="24"/>
          <w:highlight w:val="none"/>
          <w14:textFill>
            <w14:solidFill>
              <w14:schemeClr w14:val="tx1"/>
            </w14:solidFill>
          </w14:textFill>
        </w:rPr>
        <w:t>收到评审报告后，按照《</w:t>
      </w:r>
      <w:bookmarkStart w:id="113" w:name="_Hlk35425307"/>
      <w:r>
        <w:rPr>
          <w:rFonts w:ascii="宋体" w:hAnsi="宋体" w:hint="eastAsia"/>
          <w:bCs/>
          <w:color w:val="000000" w:themeColor="text1"/>
          <w:sz w:val="24"/>
          <w:highlight w:val="none"/>
          <w14:textFill>
            <w14:solidFill>
              <w14:schemeClr w14:val="tx1"/>
            </w14:solidFill>
          </w14:textFill>
        </w:rPr>
        <w:t>深圳市政府采购评标定标分离管理办法</w:t>
      </w:r>
      <w:bookmarkEnd w:id="113"/>
      <w:r>
        <w:rPr>
          <w:rFonts w:ascii="宋体" w:hAnsi="宋体" w:hint="eastAsia"/>
          <w:bCs/>
          <w:color w:val="000000" w:themeColor="text1"/>
          <w:sz w:val="24"/>
          <w:highlight w:val="none"/>
          <w14:textFill>
            <w14:solidFill>
              <w14:schemeClr w14:val="tx1"/>
            </w14:solidFill>
          </w14:textFill>
        </w:rPr>
        <w:t>》的规定组</w:t>
      </w:r>
      <w:r>
        <w:rPr>
          <w:rFonts w:ascii="宋体" w:hAnsi="宋体" w:hint="eastAsia"/>
          <w:bCs/>
          <w:color w:val="000000" w:themeColor="text1"/>
          <w:sz w:val="24"/>
          <w14:textFill>
            <w14:solidFill>
              <w14:schemeClr w14:val="tx1"/>
            </w14:solidFill>
          </w14:textFill>
        </w:rPr>
        <w:t>织定标委员会，并按照投标资料表中确定的方式，</w:t>
      </w:r>
      <w:r>
        <w:rPr>
          <w:rFonts w:ascii="宋体" w:hAnsi="宋体" w:hint="eastAsia"/>
          <w:bCs/>
          <w:sz w:val="24"/>
        </w:rPr>
        <w:t>由定标委员会在候选中标供应商中确定中标供应商。</w:t>
      </w:r>
    </w:p>
    <w:p>
      <w:pPr>
        <w:pStyle w:val="ListParagraph"/>
        <w:widowControl/>
        <w:numPr>
          <w:ilvl w:val="0"/>
          <w:numId w:val="58"/>
        </w:numPr>
        <w:adjustRightInd w:val="0"/>
        <w:snapToGrid w:val="0"/>
        <w:spacing w:line="360" w:lineRule="auto"/>
        <w:ind w:left="426" w:hanging="426" w:firstLineChars="0"/>
        <w:jc w:val="left"/>
        <w:rPr>
          <w:rFonts w:ascii="宋体" w:hAnsi="宋体"/>
          <w:color w:val="000000" w:themeColor="text1"/>
          <w:sz w:val="24"/>
          <w14:textFill>
            <w14:solidFill>
              <w14:schemeClr w14:val="tx1"/>
            </w14:solidFill>
          </w14:textFill>
        </w:rPr>
      </w:pPr>
      <w:r>
        <w:rPr>
          <w:rFonts w:ascii="宋体" w:hAnsi="宋体" w:hint="eastAsia"/>
          <w:color w:val="000000" w:themeColor="text1"/>
          <w:sz w:val="24"/>
          <w14:textFill>
            <w14:solidFill>
              <w14:schemeClr w14:val="tx1"/>
            </w14:solidFill>
          </w14:textFill>
        </w:rPr>
        <w:t>中标人拒绝与采购人签订合同的，采购人可以按照招标文件规定的定标原则，重新确定中标人，也可以重新开展政府采购活动。</w:t>
      </w:r>
    </w:p>
    <w:p>
      <w:pPr>
        <w:numPr>
          <w:ilvl w:val="0"/>
          <w:numId w:val="47"/>
        </w:numPr>
        <w:autoSpaceDE w:val="0"/>
        <w:autoSpaceDN w:val="0"/>
        <w:adjustRightInd w:val="0"/>
        <w:snapToGrid w:val="0"/>
        <w:spacing w:line="360" w:lineRule="auto"/>
        <w:ind w:left="487" w:hanging="424" w:hangingChars="202"/>
        <w:outlineLvl w:val="3"/>
        <w:rPr>
          <w:rFonts w:ascii="宋体" w:hAnsi="宋体"/>
          <w:b/>
          <w:bCs/>
          <w:sz w:val="24"/>
        </w:rPr>
      </w:pPr>
      <w:r>
        <w:rPr>
          <w:rFonts w:ascii="宋体" w:hAnsi="宋体" w:hint="eastAsia"/>
          <w:b/>
          <w:bCs/>
          <w:sz w:val="24"/>
        </w:rPr>
        <w:t>中标公告及中标通知书</w:t>
      </w:r>
    </w:p>
    <w:p>
      <w:pPr>
        <w:numPr>
          <w:ilvl w:val="1"/>
          <w:numId w:val="47"/>
        </w:numPr>
        <w:autoSpaceDE w:val="0"/>
        <w:autoSpaceDN w:val="0"/>
        <w:adjustRightInd w:val="0"/>
        <w:snapToGrid w:val="0"/>
        <w:spacing w:line="360" w:lineRule="auto"/>
        <w:rPr>
          <w:rFonts w:ascii="宋体" w:hAnsi="宋体" w:cs="黑体"/>
          <w:b/>
          <w:bCs/>
          <w:sz w:val="24"/>
        </w:rPr>
      </w:pPr>
      <w:r>
        <w:rPr>
          <w:rFonts w:ascii="宋体" w:hAnsi="宋体" w:cs="宋体" w:hint="eastAsia"/>
          <w:sz w:val="24"/>
          <w:lang w:eastAsia="zh-TW"/>
        </w:rPr>
        <w:t>中标人确定后</w:t>
      </w:r>
      <w:r>
        <w:rPr>
          <w:rFonts w:ascii="宋体" w:hAnsi="宋体" w:cs="宋体" w:hint="eastAsia"/>
          <w:sz w:val="24"/>
        </w:rPr>
        <w:t>，</w:t>
      </w:r>
      <w:r>
        <w:rPr>
          <w:rFonts w:ascii="宋体" w:hAnsi="宋体" w:cs="宋体" w:hint="eastAsia"/>
          <w:sz w:val="24"/>
          <w:lang w:eastAsia="zh-TW"/>
        </w:rPr>
        <w:t>采购代理机构将在</w:t>
      </w:r>
      <w:r>
        <w:rPr>
          <w:rFonts w:ascii="宋体" w:hAnsi="宋体" w:cs="宋体" w:hint="eastAsia"/>
          <w:sz w:val="24"/>
        </w:rPr>
        <w:t>发布采购信息公告的法定媒体</w:t>
      </w:r>
      <w:r>
        <w:rPr>
          <w:rFonts w:ascii="宋体" w:hAnsi="宋体" w:cs="宋体" w:hint="eastAsia"/>
          <w:sz w:val="24"/>
          <w:lang w:eastAsia="zh-TW"/>
        </w:rPr>
        <w:t>上发布中标公告，并向中标人</w:t>
      </w:r>
      <w:r>
        <w:rPr>
          <w:rFonts w:ascii="宋体" w:hAnsi="宋体" w:cs="宋体" w:hint="eastAsia"/>
          <w:sz w:val="24"/>
        </w:rPr>
        <w:t>及</w:t>
      </w:r>
      <w:r>
        <w:rPr>
          <w:rFonts w:ascii="宋体" w:hAnsi="宋体" w:cs="宋体" w:hint="eastAsia"/>
          <w:sz w:val="24"/>
          <w:lang w:eastAsia="zh-TW"/>
        </w:rPr>
        <w:t>采购人发出《中标通知书》，《中标通知书》对中标人和采购人具有同等法律效力。</w:t>
      </w:r>
    </w:p>
    <w:p>
      <w:pPr>
        <w:numPr>
          <w:ilvl w:val="1"/>
          <w:numId w:val="47"/>
        </w:numPr>
        <w:autoSpaceDE w:val="0"/>
        <w:autoSpaceDN w:val="0"/>
        <w:adjustRightInd w:val="0"/>
        <w:snapToGrid w:val="0"/>
        <w:spacing w:line="360" w:lineRule="auto"/>
        <w:rPr>
          <w:rFonts w:ascii="宋体" w:hAnsi="宋体" w:cs="黑体"/>
          <w:b/>
          <w:bCs/>
          <w:sz w:val="24"/>
        </w:rPr>
      </w:pPr>
      <w:r>
        <w:rPr>
          <w:rFonts w:ascii="宋体" w:hAnsi="宋体" w:hint="eastAsia"/>
          <w:sz w:val="24"/>
        </w:rPr>
        <w:t>《中标通知书》将作为授予合同资格的合法依据，是合同的一个组成部分。</w:t>
      </w:r>
      <w:bookmarkEnd w:id="112"/>
    </w:p>
    <w:p>
      <w:pPr>
        <w:numPr>
          <w:ilvl w:val="0"/>
          <w:numId w:val="47"/>
        </w:numPr>
        <w:autoSpaceDE w:val="0"/>
        <w:autoSpaceDN w:val="0"/>
        <w:adjustRightInd w:val="0"/>
        <w:snapToGrid w:val="0"/>
        <w:spacing w:line="360" w:lineRule="auto"/>
        <w:ind w:left="487" w:hanging="424" w:hangingChars="202"/>
        <w:outlineLvl w:val="3"/>
        <w:rPr>
          <w:rFonts w:ascii="宋体" w:hAnsi="宋体"/>
          <w:b/>
          <w:bCs/>
          <w:sz w:val="24"/>
        </w:rPr>
      </w:pPr>
      <w:r>
        <w:rPr>
          <w:rFonts w:ascii="宋体" w:hAnsi="宋体" w:hint="eastAsia"/>
          <w:b/>
          <w:bCs/>
          <w:sz w:val="24"/>
        </w:rPr>
        <w:t>采购代理服务费（如适用）</w:t>
      </w:r>
    </w:p>
    <w:p>
      <w:pPr>
        <w:numPr>
          <w:ilvl w:val="1"/>
          <w:numId w:val="47"/>
        </w:numPr>
        <w:autoSpaceDE w:val="0"/>
        <w:autoSpaceDN w:val="0"/>
        <w:adjustRightInd w:val="0"/>
        <w:snapToGrid w:val="0"/>
        <w:spacing w:line="360" w:lineRule="auto"/>
        <w:rPr>
          <w:rFonts w:ascii="宋体" w:hAnsi="宋体" w:cs="黑体"/>
          <w:b/>
          <w:bCs/>
          <w:sz w:val="24"/>
        </w:rPr>
      </w:pPr>
      <w:r>
        <w:rPr>
          <w:rFonts w:ascii="宋体" w:hAnsi="宋体" w:cs="宋体" w:hint="eastAsia"/>
          <w:sz w:val="24"/>
        </w:rPr>
        <w:t>中标人应按照招标文件</w:t>
      </w:r>
      <w:r>
        <w:rPr>
          <w:rFonts w:ascii="宋体" w:hAnsi="宋体" w:cs="宋体" w:hint="eastAsia"/>
          <w:b/>
          <w:sz w:val="24"/>
        </w:rPr>
        <w:t>投标人须知前附表</w:t>
      </w:r>
      <w:r>
        <w:rPr>
          <w:rFonts w:ascii="宋体" w:hAnsi="宋体" w:cs="宋体" w:hint="eastAsia"/>
          <w:sz w:val="24"/>
        </w:rPr>
        <w:t>中的规定缴纳采购代理服务费。</w:t>
      </w:r>
    </w:p>
    <w:p>
      <w:pPr>
        <w:numPr>
          <w:ilvl w:val="1"/>
          <w:numId w:val="47"/>
        </w:numPr>
        <w:autoSpaceDE w:val="0"/>
        <w:autoSpaceDN w:val="0"/>
        <w:adjustRightInd w:val="0"/>
        <w:snapToGrid w:val="0"/>
        <w:spacing w:line="360" w:lineRule="auto"/>
        <w:rPr>
          <w:rFonts w:ascii="宋体" w:hAnsi="宋体" w:cs="宋体"/>
          <w:sz w:val="24"/>
        </w:rPr>
      </w:pPr>
      <w:r>
        <w:rPr>
          <w:rFonts w:ascii="宋体" w:hAnsi="宋体" w:cs="宋体" w:hint="eastAsia"/>
          <w:sz w:val="24"/>
        </w:rPr>
        <w:t>中标人经依法被认定中标无效的，采购代理服务费不予退还。</w:t>
      </w:r>
    </w:p>
    <w:p>
      <w:pPr>
        <w:numPr>
          <w:ilvl w:val="0"/>
          <w:numId w:val="47"/>
        </w:numPr>
        <w:autoSpaceDE w:val="0"/>
        <w:autoSpaceDN w:val="0"/>
        <w:adjustRightInd w:val="0"/>
        <w:snapToGrid w:val="0"/>
        <w:spacing w:line="360" w:lineRule="auto"/>
        <w:ind w:left="487" w:hanging="424" w:hangingChars="202"/>
        <w:outlineLvl w:val="3"/>
        <w:rPr>
          <w:rFonts w:ascii="宋体" w:hAnsi="宋体"/>
          <w:b/>
          <w:bCs/>
          <w:sz w:val="24"/>
        </w:rPr>
      </w:pPr>
      <w:r>
        <w:rPr>
          <w:rFonts w:ascii="宋体" w:hAnsi="宋体" w:hint="eastAsia"/>
          <w:b/>
          <w:bCs/>
          <w:sz w:val="24"/>
        </w:rPr>
        <w:t>合同的订立</w:t>
      </w:r>
    </w:p>
    <w:p>
      <w:pPr>
        <w:numPr>
          <w:ilvl w:val="1"/>
          <w:numId w:val="47"/>
        </w:numPr>
        <w:autoSpaceDE w:val="0"/>
        <w:autoSpaceDN w:val="0"/>
        <w:adjustRightInd w:val="0"/>
        <w:snapToGrid w:val="0"/>
        <w:spacing w:line="360" w:lineRule="auto"/>
        <w:rPr>
          <w:rFonts w:ascii="宋体" w:hAnsi="宋体" w:cs="黑体"/>
          <w:b/>
          <w:bCs/>
          <w:sz w:val="24"/>
        </w:rPr>
      </w:pPr>
      <w:r>
        <w:rPr>
          <w:rFonts w:ascii="宋体" w:hAnsi="宋体" w:cs="宋体" w:hint="eastAsia"/>
          <w:sz w:val="24"/>
          <w:lang w:eastAsia="zh-TW"/>
        </w:rPr>
        <w:t>采购人应当自中标通知书发出之日起</w:t>
      </w:r>
      <w:r>
        <w:rPr>
          <w:rFonts w:ascii="宋体" w:hAnsi="宋体" w:cs="宋体" w:hint="eastAsia"/>
          <w:sz w:val="24"/>
        </w:rPr>
        <w:t>十个工作日</w:t>
      </w:r>
      <w:r>
        <w:rPr>
          <w:rFonts w:ascii="宋体" w:hAnsi="宋体" w:cs="宋体" w:hint="eastAsia"/>
          <w:sz w:val="24"/>
          <w:lang w:eastAsia="zh-TW"/>
        </w:rPr>
        <w:t>内，按照招标文件和中标人投标文件的约定，与中标人签订书面合同。所签订的合同不得对招标文件和中标人投标文件作实质性修改</w:t>
      </w:r>
      <w:r>
        <w:rPr>
          <w:rFonts w:ascii="宋体" w:hAnsi="宋体" w:cs="宋体" w:hint="eastAsia"/>
          <w:sz w:val="24"/>
        </w:rPr>
        <w:t>。</w:t>
      </w:r>
    </w:p>
    <w:p>
      <w:pPr>
        <w:numPr>
          <w:ilvl w:val="1"/>
          <w:numId w:val="47"/>
        </w:numPr>
        <w:autoSpaceDE w:val="0"/>
        <w:autoSpaceDN w:val="0"/>
        <w:adjustRightInd w:val="0"/>
        <w:snapToGrid w:val="0"/>
        <w:spacing w:line="360" w:lineRule="auto"/>
        <w:rPr>
          <w:rFonts w:ascii="宋体" w:hAnsi="宋体" w:cs="宋体"/>
          <w:sz w:val="24"/>
        </w:rPr>
      </w:pPr>
      <w:r>
        <w:rPr>
          <w:rFonts w:ascii="宋体" w:hAnsi="宋体" w:cs="宋体" w:hint="eastAsia"/>
          <w:sz w:val="24"/>
          <w:lang w:eastAsia="zh-TW"/>
        </w:rPr>
        <w:t>采购人或者采购代理机构</w:t>
      </w:r>
      <w:r>
        <w:rPr>
          <w:rFonts w:ascii="宋体" w:hAnsi="宋体" w:cs="宋体" w:hint="eastAsia"/>
          <w:sz w:val="24"/>
        </w:rPr>
        <w:t xml:space="preserve">不得向中标人提出任何不合理的要求，作为签订合同的条件，不得与中标人私下订立背离合同实质性内容的协议。 </w:t>
      </w:r>
    </w:p>
    <w:p>
      <w:pPr>
        <w:numPr>
          <w:ilvl w:val="1"/>
          <w:numId w:val="47"/>
        </w:numPr>
        <w:autoSpaceDE w:val="0"/>
        <w:autoSpaceDN w:val="0"/>
        <w:adjustRightInd w:val="0"/>
        <w:snapToGrid w:val="0"/>
        <w:spacing w:line="360" w:lineRule="auto"/>
        <w:rPr>
          <w:rFonts w:ascii="宋体" w:hAnsi="宋体" w:cs="宋体"/>
          <w:sz w:val="24"/>
        </w:rPr>
      </w:pPr>
      <w:r>
        <w:rPr>
          <w:rFonts w:ascii="宋体" w:hAnsi="宋体" w:cs="宋体" w:hint="eastAsia"/>
          <w:sz w:val="24"/>
        </w:rPr>
        <w:t>自</w:t>
      </w:r>
      <w:r>
        <w:rPr>
          <w:rFonts w:ascii="宋体" w:hAnsi="宋体" w:cs="宋体" w:hint="eastAsia"/>
          <w:sz w:val="24"/>
          <w:lang w:eastAsia="zh-TW"/>
        </w:rPr>
        <w:t>政府采购</w:t>
      </w:r>
      <w:r>
        <w:rPr>
          <w:rFonts w:ascii="宋体" w:hAnsi="宋体" w:cs="宋体" w:hint="eastAsia"/>
          <w:sz w:val="24"/>
        </w:rPr>
        <w:t>合同签订之日起2</w:t>
      </w:r>
      <w:r>
        <w:rPr>
          <w:rFonts w:ascii="宋体" w:hAnsi="宋体" w:cs="宋体" w:hint="eastAsia"/>
          <w:sz w:val="24"/>
          <w:lang w:eastAsia="zh-TW"/>
        </w:rPr>
        <w:t>个工作日内，采购人应将政府采购合同</w:t>
      </w:r>
      <w:r>
        <w:rPr>
          <w:rFonts w:ascii="宋体" w:hAnsi="宋体" w:cs="宋体" w:hint="eastAsia"/>
          <w:sz w:val="24"/>
        </w:rPr>
        <w:t>在省级以上人民政府财政部门指定的媒体上公告，但政府采购合同中涉及国家秘密、商业秘密的内容除外</w:t>
      </w:r>
      <w:r>
        <w:rPr>
          <w:rFonts w:ascii="宋体" w:hAnsi="宋体" w:cs="宋体" w:hint="eastAsia"/>
          <w:sz w:val="24"/>
          <w:lang w:eastAsia="zh-TW"/>
        </w:rPr>
        <w:t>。</w:t>
      </w:r>
    </w:p>
    <w:p>
      <w:pPr>
        <w:numPr>
          <w:ilvl w:val="1"/>
          <w:numId w:val="47"/>
        </w:numPr>
        <w:autoSpaceDE w:val="0"/>
        <w:autoSpaceDN w:val="0"/>
        <w:adjustRightInd w:val="0"/>
        <w:snapToGrid w:val="0"/>
        <w:spacing w:line="360" w:lineRule="auto"/>
        <w:rPr>
          <w:rFonts w:ascii="宋体" w:hAnsi="宋体" w:cs="宋体"/>
          <w:sz w:val="24"/>
        </w:rPr>
      </w:pPr>
      <w:r>
        <w:rPr>
          <w:rFonts w:ascii="宋体" w:hAnsi="宋体" w:cs="宋体" w:hint="eastAsia"/>
          <w:sz w:val="24"/>
          <w:lang w:eastAsia="zh-TW"/>
        </w:rPr>
        <w:t>政府采购</w:t>
      </w:r>
      <w:r>
        <w:rPr>
          <w:rFonts w:ascii="宋体" w:hAnsi="宋体" w:cs="宋体" w:hint="eastAsia"/>
          <w:sz w:val="24"/>
        </w:rPr>
        <w:t>合同签订之日起1</w:t>
      </w:r>
      <w:r>
        <w:rPr>
          <w:rFonts w:ascii="宋体" w:hAnsi="宋体" w:cs="宋体"/>
          <w:sz w:val="24"/>
        </w:rPr>
        <w:t>0</w:t>
      </w:r>
      <w:r>
        <w:rPr>
          <w:rFonts w:ascii="宋体" w:hAnsi="宋体" w:cs="宋体" w:hint="eastAsia"/>
          <w:sz w:val="24"/>
          <w:lang w:eastAsia="zh-TW"/>
        </w:rPr>
        <w:t>日内，采购人应将政府采购合同副本报政府采购监督管理部门备案</w:t>
      </w:r>
      <w:r>
        <w:rPr>
          <w:rFonts w:ascii="宋体" w:hAnsi="宋体" w:cs="宋体" w:hint="eastAsia"/>
          <w:sz w:val="24"/>
        </w:rPr>
        <w:t>和有关部门备案</w:t>
      </w:r>
      <w:r>
        <w:rPr>
          <w:rFonts w:ascii="宋体" w:hAnsi="宋体" w:cs="宋体" w:hint="eastAsia"/>
          <w:sz w:val="24"/>
          <w:lang w:eastAsia="zh-TW"/>
        </w:rPr>
        <w:t>。</w:t>
      </w:r>
    </w:p>
    <w:p>
      <w:pPr>
        <w:numPr>
          <w:ilvl w:val="0"/>
          <w:numId w:val="47"/>
        </w:numPr>
        <w:autoSpaceDE w:val="0"/>
        <w:autoSpaceDN w:val="0"/>
        <w:adjustRightInd w:val="0"/>
        <w:snapToGrid w:val="0"/>
        <w:spacing w:line="360" w:lineRule="auto"/>
        <w:ind w:left="487" w:hanging="424" w:hangingChars="202"/>
        <w:outlineLvl w:val="3"/>
        <w:rPr>
          <w:rFonts w:ascii="宋体" w:hAnsi="宋体"/>
          <w:b/>
          <w:bCs/>
          <w:sz w:val="24"/>
        </w:rPr>
      </w:pPr>
      <w:r>
        <w:rPr>
          <w:rFonts w:ascii="宋体" w:hAnsi="宋体" w:hint="eastAsia"/>
          <w:b/>
          <w:bCs/>
          <w:sz w:val="24"/>
        </w:rPr>
        <w:t>合同的履行</w:t>
      </w:r>
    </w:p>
    <w:p>
      <w:pPr>
        <w:numPr>
          <w:ilvl w:val="1"/>
          <w:numId w:val="47"/>
        </w:numPr>
        <w:autoSpaceDE w:val="0"/>
        <w:autoSpaceDN w:val="0"/>
        <w:adjustRightInd w:val="0"/>
        <w:snapToGrid w:val="0"/>
        <w:spacing w:line="360" w:lineRule="auto"/>
        <w:rPr>
          <w:rFonts w:ascii="宋体" w:hAnsi="宋体" w:cs="宋体"/>
          <w:sz w:val="24"/>
          <w:lang w:eastAsia="zh-TW"/>
        </w:rPr>
      </w:pPr>
      <w:r>
        <w:rPr>
          <w:rFonts w:ascii="宋体" w:hAnsi="宋体" w:cs="宋体" w:hint="eastAsia"/>
          <w:sz w:val="24"/>
          <w:lang w:eastAsia="zh-TW"/>
        </w:rPr>
        <w:t>政府采购合同履行中，采购人需追加与合同标的相同的货物、工程或者服务的，在不改变合同其他条款的前提下，可以与供应商签订补充合同，但所补充合同的采购金额不得超过原合同采购金额的百分之十。签订补充合同的必须按规定备案。</w:t>
      </w:r>
    </w:p>
    <w:p>
      <w:pPr>
        <w:numPr>
          <w:ilvl w:val="0"/>
          <w:numId w:val="47"/>
        </w:numPr>
        <w:autoSpaceDE w:val="0"/>
        <w:autoSpaceDN w:val="0"/>
        <w:adjustRightInd w:val="0"/>
        <w:snapToGrid w:val="0"/>
        <w:spacing w:line="360" w:lineRule="auto"/>
        <w:ind w:left="487" w:hanging="424" w:hangingChars="202"/>
        <w:outlineLvl w:val="3"/>
        <w:rPr>
          <w:rFonts w:ascii="宋体" w:hAnsi="宋体"/>
          <w:b/>
          <w:bCs/>
          <w:sz w:val="24"/>
        </w:rPr>
      </w:pPr>
      <w:r>
        <w:rPr>
          <w:rFonts w:ascii="宋体" w:hAnsi="宋体" w:hint="eastAsia"/>
          <w:b/>
          <w:bCs/>
          <w:sz w:val="24"/>
        </w:rPr>
        <w:t>法律法规规定的其他属于投标无效的</w:t>
      </w:r>
    </w:p>
    <w:p>
      <w:pPr>
        <w:pStyle w:val="ListParagraph"/>
        <w:widowControl/>
        <w:numPr>
          <w:ilvl w:val="1"/>
          <w:numId w:val="47"/>
        </w:numPr>
        <w:adjustRightInd w:val="0"/>
        <w:snapToGrid w:val="0"/>
        <w:spacing w:line="360" w:lineRule="auto"/>
        <w:ind w:firstLineChars="0"/>
        <w:jc w:val="left"/>
        <w:rPr>
          <w:rFonts w:ascii="宋体" w:hAnsi="宋体"/>
          <w:b/>
          <w:color w:val="000000" w:themeColor="text1"/>
          <w:sz w:val="24"/>
          <w14:textFill>
            <w14:solidFill>
              <w14:schemeClr w14:val="tx1"/>
            </w14:solidFill>
          </w14:textFill>
        </w:rPr>
      </w:pPr>
      <w:r>
        <w:rPr>
          <w:rFonts w:ascii="宋体" w:hAnsi="宋体" w:hint="eastAsia"/>
          <w:b/>
          <w:color w:val="000000" w:themeColor="text1"/>
          <w:sz w:val="24"/>
          <w14:textFill>
            <w14:solidFill>
              <w14:schemeClr w14:val="tx1"/>
            </w14:solidFill>
          </w14:textFill>
        </w:rPr>
        <w:t>有下列情形之一的，视为投标人串通投标，其投标无效：</w:t>
      </w:r>
    </w:p>
    <w:p>
      <w:pPr>
        <w:pStyle w:val="ListParagraph"/>
        <w:widowControl/>
        <w:numPr>
          <w:ilvl w:val="2"/>
          <w:numId w:val="47"/>
        </w:numPr>
        <w:adjustRightInd w:val="0"/>
        <w:snapToGrid w:val="0"/>
        <w:spacing w:line="360" w:lineRule="auto"/>
        <w:ind w:firstLineChars="0"/>
        <w:jc w:val="left"/>
        <w:rPr>
          <w:rFonts w:ascii="宋体" w:hAnsi="宋体"/>
          <w:color w:val="000000" w:themeColor="text1"/>
          <w:sz w:val="24"/>
          <w14:textFill>
            <w14:solidFill>
              <w14:schemeClr w14:val="tx1"/>
            </w14:solidFill>
          </w14:textFill>
        </w:rPr>
      </w:pPr>
      <w:r>
        <w:rPr>
          <w:rFonts w:ascii="宋体" w:hAnsi="宋体" w:hint="eastAsia"/>
          <w:color w:val="000000" w:themeColor="text1"/>
          <w:sz w:val="24"/>
          <w14:textFill>
            <w14:solidFill>
              <w14:schemeClr w14:val="tx1"/>
            </w14:solidFill>
          </w14:textFill>
        </w:rPr>
        <w:t>不同投标人的投标文件由同一单位或者个人编制；</w:t>
      </w:r>
    </w:p>
    <w:p>
      <w:pPr>
        <w:pStyle w:val="ListParagraph"/>
        <w:widowControl/>
        <w:numPr>
          <w:ilvl w:val="2"/>
          <w:numId w:val="47"/>
        </w:numPr>
        <w:adjustRightInd w:val="0"/>
        <w:snapToGrid w:val="0"/>
        <w:spacing w:line="360" w:lineRule="auto"/>
        <w:ind w:firstLineChars="0"/>
        <w:jc w:val="left"/>
        <w:rPr>
          <w:rFonts w:ascii="宋体" w:hAnsi="宋体"/>
          <w:color w:val="000000" w:themeColor="text1"/>
          <w:sz w:val="24"/>
          <w14:textFill>
            <w14:solidFill>
              <w14:schemeClr w14:val="tx1"/>
            </w14:solidFill>
          </w14:textFill>
        </w:rPr>
      </w:pPr>
      <w:r>
        <w:rPr>
          <w:rFonts w:ascii="宋体" w:hAnsi="宋体" w:hint="eastAsia"/>
          <w:color w:val="000000" w:themeColor="text1"/>
          <w:sz w:val="24"/>
          <w14:textFill>
            <w14:solidFill>
              <w14:schemeClr w14:val="tx1"/>
            </w14:solidFill>
          </w14:textFill>
        </w:rPr>
        <w:t>不同投标人委托同一单位或者个人办理投标事宜；</w:t>
      </w:r>
    </w:p>
    <w:p>
      <w:pPr>
        <w:pStyle w:val="ListParagraph"/>
        <w:widowControl/>
        <w:numPr>
          <w:ilvl w:val="2"/>
          <w:numId w:val="47"/>
        </w:numPr>
        <w:adjustRightInd w:val="0"/>
        <w:snapToGrid w:val="0"/>
        <w:spacing w:line="360" w:lineRule="auto"/>
        <w:ind w:firstLineChars="0"/>
        <w:jc w:val="left"/>
        <w:rPr>
          <w:rFonts w:ascii="宋体" w:hAnsi="宋体"/>
          <w:color w:val="000000" w:themeColor="text1"/>
          <w:sz w:val="24"/>
          <w14:textFill>
            <w14:solidFill>
              <w14:schemeClr w14:val="tx1"/>
            </w14:solidFill>
          </w14:textFill>
        </w:rPr>
      </w:pPr>
      <w:r>
        <w:rPr>
          <w:rFonts w:ascii="宋体" w:hAnsi="宋体" w:hint="eastAsia"/>
          <w:color w:val="000000" w:themeColor="text1"/>
          <w:sz w:val="24"/>
          <w14:textFill>
            <w14:solidFill>
              <w14:schemeClr w14:val="tx1"/>
            </w14:solidFill>
          </w14:textFill>
        </w:rPr>
        <w:t>不同投标人的投标文件载明的项目管理成员或者联系人员为同一人；</w:t>
      </w:r>
    </w:p>
    <w:p>
      <w:pPr>
        <w:pStyle w:val="ListParagraph"/>
        <w:widowControl/>
        <w:numPr>
          <w:ilvl w:val="2"/>
          <w:numId w:val="47"/>
        </w:numPr>
        <w:adjustRightInd w:val="0"/>
        <w:snapToGrid w:val="0"/>
        <w:spacing w:line="360" w:lineRule="auto"/>
        <w:ind w:firstLineChars="0"/>
        <w:jc w:val="left"/>
        <w:rPr>
          <w:rFonts w:ascii="宋体" w:hAnsi="宋体"/>
          <w:color w:val="000000" w:themeColor="text1"/>
          <w:sz w:val="24"/>
          <w14:textFill>
            <w14:solidFill>
              <w14:schemeClr w14:val="tx1"/>
            </w14:solidFill>
          </w14:textFill>
        </w:rPr>
      </w:pPr>
      <w:r>
        <w:rPr>
          <w:rFonts w:ascii="宋体" w:hAnsi="宋体" w:hint="eastAsia"/>
          <w:color w:val="000000" w:themeColor="text1"/>
          <w:sz w:val="24"/>
          <w14:textFill>
            <w14:solidFill>
              <w14:schemeClr w14:val="tx1"/>
            </w14:solidFill>
          </w14:textFill>
        </w:rPr>
        <w:t>不同投标人的投标文件异常一致或者投标报价呈规律性差异；</w:t>
      </w:r>
    </w:p>
    <w:p>
      <w:pPr>
        <w:pStyle w:val="ListParagraph"/>
        <w:widowControl/>
        <w:numPr>
          <w:ilvl w:val="2"/>
          <w:numId w:val="47"/>
        </w:numPr>
        <w:adjustRightInd w:val="0"/>
        <w:snapToGrid w:val="0"/>
        <w:spacing w:line="360" w:lineRule="auto"/>
        <w:ind w:firstLineChars="0"/>
        <w:jc w:val="left"/>
        <w:rPr>
          <w:rFonts w:ascii="宋体" w:hAnsi="宋体"/>
          <w:color w:val="000000" w:themeColor="text1"/>
          <w:sz w:val="24"/>
          <w14:textFill>
            <w14:solidFill>
              <w14:schemeClr w14:val="tx1"/>
            </w14:solidFill>
          </w14:textFill>
        </w:rPr>
      </w:pPr>
      <w:r>
        <w:rPr>
          <w:rFonts w:ascii="宋体" w:hAnsi="宋体" w:hint="eastAsia"/>
          <w:color w:val="000000" w:themeColor="text1"/>
          <w:sz w:val="24"/>
          <w14:textFill>
            <w14:solidFill>
              <w14:schemeClr w14:val="tx1"/>
            </w14:solidFill>
          </w14:textFill>
        </w:rPr>
        <w:t>不同投标人的投标文件相互混装；</w:t>
      </w:r>
    </w:p>
    <w:p>
      <w:pPr>
        <w:numPr>
          <w:ilvl w:val="0"/>
          <w:numId w:val="47"/>
        </w:numPr>
        <w:autoSpaceDE w:val="0"/>
        <w:autoSpaceDN w:val="0"/>
        <w:adjustRightInd w:val="0"/>
        <w:snapToGrid w:val="0"/>
        <w:spacing w:line="360" w:lineRule="auto"/>
        <w:ind w:left="487" w:hanging="424" w:hangingChars="202"/>
        <w:outlineLvl w:val="3"/>
        <w:rPr>
          <w:rFonts w:ascii="宋体" w:hAnsi="宋体"/>
          <w:b/>
          <w:bCs/>
          <w:sz w:val="24"/>
        </w:rPr>
      </w:pPr>
      <w:r>
        <w:rPr>
          <w:rFonts w:ascii="宋体" w:hAnsi="宋体"/>
          <w:b/>
          <w:bCs/>
          <w:sz w:val="24"/>
        </w:rPr>
        <w:t>废标</w:t>
      </w:r>
    </w:p>
    <w:p>
      <w:pPr>
        <w:pStyle w:val="ListParagraph"/>
        <w:widowControl/>
        <w:numPr>
          <w:ilvl w:val="0"/>
          <w:numId w:val="59"/>
        </w:numPr>
        <w:tabs>
          <w:tab w:val="left" w:pos="567"/>
        </w:tabs>
        <w:adjustRightInd w:val="0"/>
        <w:snapToGrid w:val="0"/>
        <w:spacing w:line="360" w:lineRule="auto"/>
        <w:ind w:firstLineChars="0"/>
        <w:jc w:val="left"/>
        <w:rPr>
          <w:rFonts w:ascii="宋体" w:hAnsi="宋体"/>
          <w:sz w:val="24"/>
        </w:rPr>
      </w:pPr>
      <w:r>
        <w:rPr>
          <w:rFonts w:ascii="宋体" w:hAnsi="宋体"/>
          <w:sz w:val="24"/>
        </w:rPr>
        <w:t>在招标采购中，出现下列情形之一的，应予废标</w:t>
      </w:r>
      <w:r>
        <w:rPr>
          <w:rFonts w:ascii="宋体" w:hAnsi="宋体" w:hint="eastAsia"/>
          <w:sz w:val="24"/>
        </w:rPr>
        <w:t>：</w:t>
      </w:r>
    </w:p>
    <w:p>
      <w:pPr>
        <w:pStyle w:val="ListParagraph"/>
        <w:widowControl/>
        <w:numPr>
          <w:ilvl w:val="3"/>
          <w:numId w:val="47"/>
        </w:numPr>
        <w:tabs>
          <w:tab w:val="left" w:pos="426"/>
          <w:tab w:val="clear" w:pos="851"/>
        </w:tabs>
        <w:adjustRightInd w:val="0"/>
        <w:snapToGrid w:val="0"/>
        <w:spacing w:line="360" w:lineRule="auto"/>
        <w:ind w:left="426" w:hanging="425" w:firstLineChars="0"/>
        <w:jc w:val="left"/>
        <w:rPr>
          <w:rFonts w:ascii="宋体" w:hAnsi="宋体"/>
          <w:sz w:val="24"/>
        </w:rPr>
      </w:pPr>
      <w:r>
        <w:rPr>
          <w:rFonts w:ascii="宋体" w:hAnsi="宋体"/>
          <w:sz w:val="24"/>
        </w:rPr>
        <w:t>符合专业条件的供应商或者对</w:t>
      </w:r>
      <w:r>
        <w:rPr>
          <w:rFonts w:ascii="宋体" w:hAnsi="宋体" w:hint="eastAsia"/>
          <w:sz w:val="24"/>
        </w:rPr>
        <w:t>招标</w:t>
      </w:r>
      <w:r>
        <w:rPr>
          <w:rFonts w:ascii="宋体" w:hAnsi="宋体"/>
          <w:sz w:val="24"/>
        </w:rPr>
        <w:t>文件作实质响应的供应商不足三家的；</w:t>
      </w:r>
    </w:p>
    <w:p>
      <w:pPr>
        <w:pStyle w:val="ListParagraph"/>
        <w:widowControl/>
        <w:numPr>
          <w:ilvl w:val="3"/>
          <w:numId w:val="47"/>
        </w:numPr>
        <w:tabs>
          <w:tab w:val="left" w:pos="426"/>
          <w:tab w:val="clear" w:pos="851"/>
        </w:tabs>
        <w:adjustRightInd w:val="0"/>
        <w:snapToGrid w:val="0"/>
        <w:spacing w:line="360" w:lineRule="auto"/>
        <w:ind w:left="426" w:hanging="425" w:firstLineChars="0"/>
        <w:jc w:val="left"/>
        <w:rPr>
          <w:rFonts w:ascii="宋体" w:hAnsi="宋体"/>
          <w:sz w:val="24"/>
        </w:rPr>
      </w:pPr>
      <w:r>
        <w:rPr>
          <w:rFonts w:ascii="宋体" w:hAnsi="宋体"/>
          <w:sz w:val="24"/>
        </w:rPr>
        <w:t>出现影响采购公正的违法、违规行为的；</w:t>
      </w:r>
    </w:p>
    <w:p>
      <w:pPr>
        <w:pStyle w:val="ListParagraph"/>
        <w:widowControl/>
        <w:numPr>
          <w:ilvl w:val="3"/>
          <w:numId w:val="47"/>
        </w:numPr>
        <w:tabs>
          <w:tab w:val="left" w:pos="426"/>
          <w:tab w:val="clear" w:pos="851"/>
        </w:tabs>
        <w:adjustRightInd w:val="0"/>
        <w:snapToGrid w:val="0"/>
        <w:spacing w:line="360" w:lineRule="auto"/>
        <w:ind w:left="426" w:hanging="425" w:firstLineChars="0"/>
        <w:jc w:val="left"/>
        <w:rPr>
          <w:rFonts w:ascii="宋体" w:hAnsi="宋体"/>
          <w:sz w:val="24"/>
        </w:rPr>
      </w:pPr>
      <w:r>
        <w:rPr>
          <w:rFonts w:ascii="宋体" w:hAnsi="宋体"/>
          <w:sz w:val="24"/>
        </w:rPr>
        <w:t>投标人的报价均超过了采购预算，采购人不能支付的；</w:t>
      </w:r>
    </w:p>
    <w:p>
      <w:pPr>
        <w:pStyle w:val="ListParagraph"/>
        <w:widowControl/>
        <w:numPr>
          <w:ilvl w:val="3"/>
          <w:numId w:val="47"/>
        </w:numPr>
        <w:tabs>
          <w:tab w:val="left" w:pos="426"/>
          <w:tab w:val="clear" w:pos="851"/>
        </w:tabs>
        <w:adjustRightInd w:val="0"/>
        <w:snapToGrid w:val="0"/>
        <w:spacing w:line="360" w:lineRule="auto"/>
        <w:ind w:left="426" w:hanging="425" w:firstLineChars="0"/>
        <w:jc w:val="left"/>
        <w:rPr>
          <w:rFonts w:ascii="宋体" w:hAnsi="宋体"/>
          <w:sz w:val="24"/>
        </w:rPr>
      </w:pPr>
      <w:r>
        <w:rPr>
          <w:rFonts w:ascii="宋体" w:hAnsi="宋体"/>
          <w:sz w:val="24"/>
        </w:rPr>
        <w:t>因重大变故，采购任务取消的</w:t>
      </w:r>
      <w:r>
        <w:rPr>
          <w:rFonts w:ascii="宋体" w:hAnsi="宋体" w:hint="eastAsia"/>
          <w:sz w:val="24"/>
        </w:rPr>
        <w:t>。</w:t>
      </w:r>
    </w:p>
    <w:p>
      <w:pPr>
        <w:numPr>
          <w:ilvl w:val="0"/>
          <w:numId w:val="33"/>
        </w:numPr>
        <w:autoSpaceDE w:val="0"/>
        <w:autoSpaceDN w:val="0"/>
        <w:adjustRightInd w:val="0"/>
        <w:snapToGrid w:val="0"/>
        <w:spacing w:line="360" w:lineRule="auto"/>
        <w:ind w:left="708" w:hanging="529" w:hangingChars="252"/>
        <w:jc w:val="center"/>
        <w:outlineLvl w:val="2"/>
        <w:rPr>
          <w:rFonts w:ascii="宋体" w:hAnsi="宋体"/>
          <w:b/>
          <w:sz w:val="28"/>
          <w:szCs w:val="28"/>
          <w:lang w:eastAsia="zh-TW"/>
        </w:rPr>
      </w:pPr>
      <w:bookmarkStart w:id="114" w:name="_Toc14543"/>
      <w:bookmarkStart w:id="115" w:name="_Toc256000019"/>
      <w:r>
        <w:rPr>
          <w:rFonts w:ascii="宋体" w:hAnsi="宋体" w:hint="eastAsia"/>
          <w:b/>
          <w:sz w:val="28"/>
          <w:szCs w:val="28"/>
          <w:lang w:eastAsia="zh-TW"/>
        </w:rPr>
        <w:t>询问、质疑与投诉</w:t>
      </w:r>
      <w:bookmarkEnd w:id="115"/>
      <w:bookmarkEnd w:id="114"/>
    </w:p>
    <w:p>
      <w:pPr>
        <w:numPr>
          <w:ilvl w:val="0"/>
          <w:numId w:val="60"/>
        </w:numPr>
        <w:autoSpaceDE w:val="0"/>
        <w:autoSpaceDN w:val="0"/>
        <w:adjustRightInd w:val="0"/>
        <w:snapToGrid w:val="0"/>
        <w:spacing w:line="360" w:lineRule="auto"/>
        <w:outlineLvl w:val="3"/>
        <w:rPr>
          <w:rFonts w:ascii="宋体" w:hAnsi="宋体"/>
          <w:b/>
          <w:bCs/>
          <w:sz w:val="24"/>
        </w:rPr>
      </w:pPr>
      <w:r>
        <w:rPr>
          <w:rFonts w:ascii="宋体" w:hAnsi="宋体" w:hint="eastAsia"/>
          <w:b/>
          <w:bCs/>
          <w:sz w:val="24"/>
        </w:rPr>
        <w:t>询问</w:t>
      </w:r>
    </w:p>
    <w:p>
      <w:pPr>
        <w:numPr>
          <w:ilvl w:val="1"/>
          <w:numId w:val="60"/>
        </w:numPr>
        <w:autoSpaceDE w:val="0"/>
        <w:autoSpaceDN w:val="0"/>
        <w:adjustRightInd w:val="0"/>
        <w:snapToGrid w:val="0"/>
        <w:spacing w:line="360" w:lineRule="auto"/>
        <w:ind w:left="648" w:hanging="567" w:hangingChars="270"/>
        <w:rPr>
          <w:rFonts w:ascii="宋体" w:hAnsi="宋体" w:cs="黑体"/>
          <w:b/>
          <w:bCs/>
          <w:sz w:val="24"/>
        </w:rPr>
      </w:pPr>
      <w:r>
        <w:rPr>
          <w:rFonts w:ascii="宋体" w:hAnsi="宋体" w:cs="黑体" w:hint="eastAsia"/>
          <w:bCs/>
          <w:sz w:val="24"/>
        </w:rPr>
        <w:t>供应商对政府采购活动事项有疑问的，可以向</w:t>
      </w:r>
      <w:r>
        <w:rPr>
          <w:rFonts w:ascii="宋体" w:hAnsi="宋体" w:cs="宋体" w:hint="eastAsia"/>
          <w:sz w:val="24"/>
          <w:lang w:eastAsia="zh-TW"/>
        </w:rPr>
        <w:t>采购人或者采购代理机构</w:t>
      </w:r>
      <w:r>
        <w:rPr>
          <w:rFonts w:ascii="宋体" w:hAnsi="宋体" w:cs="黑体" w:hint="eastAsia"/>
          <w:bCs/>
          <w:sz w:val="24"/>
        </w:rPr>
        <w:t>提出询问，询问可以口头方式提出，也可以书面方式提出。</w:t>
      </w:r>
    </w:p>
    <w:p>
      <w:pPr>
        <w:numPr>
          <w:ilvl w:val="1"/>
          <w:numId w:val="60"/>
        </w:numPr>
        <w:autoSpaceDE w:val="0"/>
        <w:autoSpaceDN w:val="0"/>
        <w:adjustRightInd w:val="0"/>
        <w:snapToGrid w:val="0"/>
        <w:spacing w:line="360" w:lineRule="auto"/>
        <w:ind w:left="648" w:hanging="567" w:hangingChars="270"/>
        <w:rPr>
          <w:rFonts w:ascii="宋体" w:hAnsi="宋体" w:cs="黑体"/>
          <w:b/>
          <w:bCs/>
          <w:sz w:val="24"/>
        </w:rPr>
      </w:pPr>
      <w:r>
        <w:rPr>
          <w:rFonts w:ascii="宋体" w:hAnsi="宋体" w:cs="黑体" w:hint="eastAsia"/>
          <w:bCs/>
          <w:sz w:val="24"/>
        </w:rPr>
        <w:t>如采用书面方式提出询问，供应商为自然人的，询问函应当由本人签字；供应商为法人或者其他组织的，应当由法定代表人、主要负责人或授权代表签字或者盖个人名章，并加盖公章。投标人递交询问函时非法定代表人亲自办理的需提供法定代表人授权委托书（应载明授权代表的姓名或者名称、代理事项、具体权限、期限和相关事项）及授权代表身份证复印件。</w:t>
      </w:r>
    </w:p>
    <w:p>
      <w:pPr>
        <w:numPr>
          <w:ilvl w:val="1"/>
          <w:numId w:val="60"/>
        </w:numPr>
        <w:autoSpaceDE w:val="0"/>
        <w:autoSpaceDN w:val="0"/>
        <w:adjustRightInd w:val="0"/>
        <w:snapToGrid w:val="0"/>
        <w:spacing w:line="360" w:lineRule="auto"/>
        <w:ind w:left="648" w:hanging="567" w:hangingChars="270"/>
        <w:rPr>
          <w:rFonts w:ascii="宋体" w:hAnsi="宋体" w:cs="黑体"/>
          <w:b/>
          <w:bCs/>
          <w:sz w:val="24"/>
        </w:rPr>
      </w:pPr>
      <w:r>
        <w:rPr>
          <w:rFonts w:ascii="宋体" w:hAnsi="宋体" w:cs="宋体" w:hint="eastAsia"/>
          <w:sz w:val="24"/>
          <w:lang w:eastAsia="zh-TW"/>
        </w:rPr>
        <w:t>采购人或者采购代理机构</w:t>
      </w:r>
      <w:r>
        <w:rPr>
          <w:rFonts w:ascii="宋体" w:hAnsi="宋体" w:cs="黑体" w:hint="eastAsia"/>
          <w:bCs/>
          <w:sz w:val="24"/>
        </w:rPr>
        <w:t>在三个工作日内对供应商依法提出的询问作出答复。</w:t>
      </w:r>
    </w:p>
    <w:p>
      <w:pPr>
        <w:numPr>
          <w:ilvl w:val="1"/>
          <w:numId w:val="60"/>
        </w:numPr>
        <w:autoSpaceDE w:val="0"/>
        <w:autoSpaceDN w:val="0"/>
        <w:adjustRightInd w:val="0"/>
        <w:snapToGrid w:val="0"/>
        <w:spacing w:line="360" w:lineRule="auto"/>
        <w:ind w:left="566" w:hanging="496" w:hangingChars="236"/>
        <w:rPr>
          <w:rFonts w:ascii="宋体" w:hAnsi="宋体" w:cs="黑体"/>
          <w:bCs/>
          <w:sz w:val="24"/>
        </w:rPr>
      </w:pPr>
      <w:r>
        <w:rPr>
          <w:rFonts w:hAnsi="宋体" w:hint="eastAsia"/>
          <w:snapToGrid w:val="0"/>
          <w:sz w:val="24"/>
        </w:rPr>
        <w:t>采购人或采购代理机构接收以书面形式递交的询问函，接收询问函的联系人、联系方式和通讯地址详见</w:t>
      </w:r>
      <w:r>
        <w:rPr>
          <w:rFonts w:hAnsi="宋体" w:hint="eastAsia"/>
          <w:b/>
          <w:snapToGrid w:val="0"/>
          <w:sz w:val="24"/>
        </w:rPr>
        <w:t>投标人须知前附表</w:t>
      </w:r>
      <w:r>
        <w:rPr>
          <w:rFonts w:ascii="宋体" w:hAnsi="宋体" w:hint="eastAsia"/>
          <w:sz w:val="24"/>
        </w:rPr>
        <w:t>。</w:t>
      </w:r>
    </w:p>
    <w:p>
      <w:pPr>
        <w:numPr>
          <w:ilvl w:val="0"/>
          <w:numId w:val="60"/>
        </w:numPr>
        <w:autoSpaceDE w:val="0"/>
        <w:autoSpaceDN w:val="0"/>
        <w:adjustRightInd w:val="0"/>
        <w:snapToGrid w:val="0"/>
        <w:spacing w:line="360" w:lineRule="auto"/>
        <w:ind w:left="487" w:hanging="424" w:hangingChars="202"/>
        <w:outlineLvl w:val="3"/>
        <w:rPr>
          <w:rFonts w:ascii="宋体" w:hAnsi="宋体"/>
          <w:b/>
          <w:bCs/>
          <w:sz w:val="24"/>
        </w:rPr>
      </w:pPr>
      <w:r>
        <w:rPr>
          <w:rFonts w:ascii="宋体" w:hAnsi="宋体" w:hint="eastAsia"/>
          <w:b/>
          <w:bCs/>
          <w:sz w:val="24"/>
        </w:rPr>
        <w:t>质疑</w:t>
      </w:r>
    </w:p>
    <w:p>
      <w:pPr>
        <w:numPr>
          <w:ilvl w:val="1"/>
          <w:numId w:val="60"/>
        </w:numPr>
        <w:autoSpaceDE w:val="0"/>
        <w:autoSpaceDN w:val="0"/>
        <w:adjustRightInd w:val="0"/>
        <w:snapToGrid w:val="0"/>
        <w:spacing w:line="360" w:lineRule="auto"/>
        <w:ind w:left="566" w:hanging="496" w:hangingChars="236"/>
        <w:rPr>
          <w:rFonts w:ascii="宋体" w:hAnsi="宋体" w:cs="黑体"/>
          <w:b/>
          <w:bCs/>
          <w:sz w:val="24"/>
        </w:rPr>
      </w:pPr>
      <w:r>
        <w:rPr>
          <w:rFonts w:ascii="宋体" w:hAnsi="宋体" w:cs="黑体" w:hint="eastAsia"/>
          <w:bCs/>
          <w:sz w:val="24"/>
        </w:rPr>
        <w:t>质疑期限：</w:t>
      </w:r>
    </w:p>
    <w:p>
      <w:pPr>
        <w:numPr>
          <w:ilvl w:val="2"/>
          <w:numId w:val="60"/>
        </w:numPr>
        <w:tabs>
          <w:tab w:val="left" w:pos="142"/>
          <w:tab w:val="clear" w:pos="567"/>
        </w:tabs>
        <w:autoSpaceDE w:val="0"/>
        <w:autoSpaceDN w:val="0"/>
        <w:adjustRightInd w:val="0"/>
        <w:snapToGrid w:val="0"/>
        <w:spacing w:line="360" w:lineRule="auto"/>
        <w:ind w:left="355" w:hanging="498" w:leftChars="-68" w:hangingChars="237"/>
        <w:rPr>
          <w:rFonts w:ascii="宋体" w:hAnsi="宋体" w:cs="黑体"/>
          <w:bCs/>
          <w:sz w:val="24"/>
        </w:rPr>
      </w:pPr>
      <w:bookmarkStart w:id="116" w:name="_Hlk30667144"/>
      <w:r>
        <w:rPr>
          <w:rFonts w:ascii="宋体" w:hAnsi="宋体" w:cs="黑体" w:hint="eastAsia"/>
          <w:bCs/>
          <w:sz w:val="24"/>
        </w:rPr>
        <w:t>供应商认为采购文件的内容损害其权益的，应在采购文件公布之日起七个工作日内。</w:t>
      </w:r>
    </w:p>
    <w:p>
      <w:pPr>
        <w:numPr>
          <w:ilvl w:val="2"/>
          <w:numId w:val="60"/>
        </w:numPr>
        <w:tabs>
          <w:tab w:val="left" w:pos="142"/>
          <w:tab w:val="clear" w:pos="567"/>
        </w:tabs>
        <w:autoSpaceDE w:val="0"/>
        <w:autoSpaceDN w:val="0"/>
        <w:adjustRightInd w:val="0"/>
        <w:snapToGrid w:val="0"/>
        <w:spacing w:line="360" w:lineRule="auto"/>
        <w:ind w:left="355" w:hanging="498" w:leftChars="-68" w:hangingChars="237"/>
        <w:rPr>
          <w:rFonts w:ascii="宋体" w:hAnsi="宋体" w:cs="黑体"/>
          <w:bCs/>
          <w:sz w:val="24"/>
        </w:rPr>
      </w:pPr>
      <w:r>
        <w:rPr>
          <w:rFonts w:ascii="宋体" w:hAnsi="宋体" w:cs="黑体" w:hint="eastAsia"/>
          <w:bCs/>
          <w:sz w:val="24"/>
        </w:rPr>
        <w:t>供应商认为采购过程损害其权益的，应在各采购程序环节结束之日起七个工作日内。</w:t>
      </w:r>
    </w:p>
    <w:p>
      <w:pPr>
        <w:numPr>
          <w:ilvl w:val="2"/>
          <w:numId w:val="60"/>
        </w:numPr>
        <w:tabs>
          <w:tab w:val="left" w:pos="142"/>
          <w:tab w:val="clear" w:pos="567"/>
        </w:tabs>
        <w:autoSpaceDE w:val="0"/>
        <w:autoSpaceDN w:val="0"/>
        <w:adjustRightInd w:val="0"/>
        <w:snapToGrid w:val="0"/>
        <w:spacing w:line="360" w:lineRule="auto"/>
        <w:ind w:left="355" w:hanging="498" w:leftChars="-68" w:hangingChars="237"/>
        <w:rPr>
          <w:rFonts w:ascii="宋体" w:hAnsi="宋体" w:cs="黑体"/>
          <w:bCs/>
          <w:sz w:val="24"/>
        </w:rPr>
      </w:pPr>
      <w:r>
        <w:rPr>
          <w:rFonts w:ascii="宋体" w:hAnsi="宋体" w:cs="黑体" w:hint="eastAsia"/>
          <w:bCs/>
          <w:sz w:val="24"/>
        </w:rPr>
        <w:t>供应商认为中标或者成交结果以及评审委员会、谈判小组、竞价小组组成人员损害其权益的，应在中标或者成交结果公示之日起七个工作日内。</w:t>
      </w:r>
    </w:p>
    <w:p>
      <w:pPr>
        <w:numPr>
          <w:ilvl w:val="1"/>
          <w:numId w:val="60"/>
        </w:numPr>
        <w:autoSpaceDE w:val="0"/>
        <w:autoSpaceDN w:val="0"/>
        <w:adjustRightInd w:val="0"/>
        <w:snapToGrid w:val="0"/>
        <w:spacing w:line="360" w:lineRule="auto"/>
        <w:ind w:left="566" w:hanging="496" w:hangingChars="236"/>
        <w:rPr>
          <w:rFonts w:ascii="宋体" w:hAnsi="宋体" w:cs="黑体"/>
          <w:bCs/>
          <w:sz w:val="24"/>
        </w:rPr>
      </w:pPr>
      <w:bookmarkEnd w:id="116"/>
      <w:r>
        <w:rPr>
          <w:rFonts w:ascii="宋体" w:hAnsi="宋体" w:cs="黑体" w:hint="eastAsia"/>
          <w:bCs/>
          <w:sz w:val="24"/>
        </w:rPr>
        <w:t>提交要求：</w:t>
      </w:r>
    </w:p>
    <w:p>
      <w:pPr>
        <w:numPr>
          <w:ilvl w:val="2"/>
          <w:numId w:val="60"/>
        </w:numPr>
        <w:autoSpaceDE w:val="0"/>
        <w:autoSpaceDN w:val="0"/>
        <w:adjustRightInd w:val="0"/>
        <w:snapToGrid w:val="0"/>
        <w:spacing w:line="360" w:lineRule="auto"/>
        <w:ind w:left="566" w:hanging="496" w:hangingChars="236"/>
        <w:rPr>
          <w:rFonts w:ascii="宋体" w:hAnsi="宋体" w:cs="黑体"/>
          <w:bCs/>
          <w:sz w:val="24"/>
        </w:rPr>
      </w:pPr>
      <w:r>
        <w:rPr>
          <w:rFonts w:hint="eastAsia"/>
          <w:bCs/>
          <w:sz w:val="24"/>
        </w:rPr>
        <w:t>登录“</w:t>
      </w:r>
      <w:r>
        <w:rPr>
          <w:rFonts w:asciiTheme="minorEastAsia" w:eastAsiaTheme="minorEastAsia" w:hAnsiTheme="minorEastAsia" w:hint="eastAsia"/>
          <w:sz w:val="24"/>
        </w:rPr>
        <w:t>深圳政府采购智慧平台（http://zfcg.szggzy.com:8081/）</w:t>
      </w:r>
      <w:r>
        <w:rPr>
          <w:rFonts w:hint="eastAsia"/>
          <w:bCs/>
          <w:sz w:val="24"/>
        </w:rPr>
        <w:t>”提出或</w:t>
      </w:r>
      <w:r>
        <w:rPr>
          <w:rFonts w:ascii="宋体" w:hAnsi="宋体" w:cs="黑体" w:hint="eastAsia"/>
          <w:bCs/>
          <w:sz w:val="24"/>
        </w:rPr>
        <w:t>以书面形式向采购人或者采购代理机构</w:t>
      </w:r>
      <w:r>
        <w:rPr>
          <w:rFonts w:ascii="宋体" w:hAnsi="宋体" w:cs="宋体" w:hint="eastAsia"/>
          <w:sz w:val="24"/>
        </w:rPr>
        <w:t>一次性提出针对同一采购程序环节的</w:t>
      </w:r>
      <w:r>
        <w:rPr>
          <w:rFonts w:ascii="宋体" w:hAnsi="宋体" w:cs="黑体" w:hint="eastAsia"/>
          <w:bCs/>
          <w:sz w:val="24"/>
        </w:rPr>
        <w:t>质疑。</w:t>
      </w:r>
    </w:p>
    <w:p>
      <w:pPr>
        <w:numPr>
          <w:ilvl w:val="2"/>
          <w:numId w:val="60"/>
        </w:numPr>
        <w:autoSpaceDE w:val="0"/>
        <w:autoSpaceDN w:val="0"/>
        <w:adjustRightInd w:val="0"/>
        <w:snapToGrid w:val="0"/>
        <w:spacing w:line="360" w:lineRule="auto"/>
        <w:ind w:left="566" w:hanging="496" w:hangingChars="236"/>
        <w:rPr>
          <w:rFonts w:ascii="宋体" w:hAnsi="宋体" w:cs="黑体"/>
          <w:bCs/>
          <w:sz w:val="24"/>
        </w:rPr>
      </w:pPr>
      <w:r>
        <w:rPr>
          <w:rFonts w:ascii="宋体" w:hAnsi="宋体" w:cs="黑体" w:hint="eastAsia"/>
          <w:bCs/>
          <w:sz w:val="24"/>
        </w:rPr>
        <w:t>以联合体形式参加政府采购活动的，其质疑应当由组成联合体的所有供应商共同提出。</w:t>
      </w:r>
    </w:p>
    <w:p>
      <w:pPr>
        <w:numPr>
          <w:ilvl w:val="2"/>
          <w:numId w:val="60"/>
        </w:numPr>
        <w:autoSpaceDE w:val="0"/>
        <w:autoSpaceDN w:val="0"/>
        <w:adjustRightInd w:val="0"/>
        <w:snapToGrid w:val="0"/>
        <w:spacing w:line="360" w:lineRule="auto"/>
        <w:ind w:left="566" w:hanging="496" w:hangingChars="236"/>
        <w:rPr>
          <w:rFonts w:ascii="宋体" w:hAnsi="宋体" w:cs="黑体"/>
          <w:bCs/>
          <w:sz w:val="24"/>
        </w:rPr>
      </w:pPr>
      <w:r>
        <w:rPr>
          <w:rFonts w:ascii="宋体" w:hAnsi="宋体" w:cs="黑体" w:hint="eastAsia"/>
          <w:bCs/>
          <w:sz w:val="24"/>
        </w:rPr>
        <w:t>质疑函应当包括下列内容：</w:t>
      </w:r>
    </w:p>
    <w:p>
      <w:pPr>
        <w:pStyle w:val="ListParagraph"/>
        <w:widowControl/>
        <w:numPr>
          <w:ilvl w:val="1"/>
          <w:numId w:val="52"/>
        </w:numPr>
        <w:tabs>
          <w:tab w:val="left" w:pos="709"/>
        </w:tabs>
        <w:adjustRightInd w:val="0"/>
        <w:snapToGrid w:val="0"/>
        <w:spacing w:line="360" w:lineRule="auto"/>
        <w:ind w:left="426" w:hanging="283" w:firstLineChars="0"/>
        <w:jc w:val="left"/>
        <w:rPr>
          <w:rFonts w:ascii="宋体" w:hAnsi="宋体"/>
          <w:bCs/>
          <w:sz w:val="24"/>
        </w:rPr>
      </w:pPr>
      <w:r>
        <w:rPr>
          <w:rFonts w:ascii="宋体" w:hAnsi="宋体" w:hint="eastAsia"/>
          <w:bCs/>
          <w:sz w:val="24"/>
        </w:rPr>
        <w:t>供应商的姓名或者名称、地址、邮编、联系人及联系电话；</w:t>
      </w:r>
    </w:p>
    <w:p>
      <w:pPr>
        <w:pStyle w:val="ListParagraph"/>
        <w:widowControl/>
        <w:numPr>
          <w:ilvl w:val="1"/>
          <w:numId w:val="52"/>
        </w:numPr>
        <w:tabs>
          <w:tab w:val="left" w:pos="709"/>
        </w:tabs>
        <w:adjustRightInd w:val="0"/>
        <w:snapToGrid w:val="0"/>
        <w:spacing w:line="360" w:lineRule="auto"/>
        <w:ind w:left="426" w:hanging="283" w:firstLineChars="0"/>
        <w:jc w:val="left"/>
        <w:rPr>
          <w:rFonts w:ascii="宋体" w:hAnsi="宋体"/>
          <w:bCs/>
          <w:sz w:val="24"/>
        </w:rPr>
      </w:pPr>
      <w:r>
        <w:rPr>
          <w:rFonts w:ascii="宋体" w:hAnsi="宋体" w:hint="eastAsia"/>
          <w:bCs/>
          <w:sz w:val="24"/>
        </w:rPr>
        <w:t>质疑项目的名称及编号；</w:t>
      </w:r>
    </w:p>
    <w:p>
      <w:pPr>
        <w:pStyle w:val="ListParagraph"/>
        <w:widowControl/>
        <w:numPr>
          <w:ilvl w:val="1"/>
          <w:numId w:val="52"/>
        </w:numPr>
        <w:tabs>
          <w:tab w:val="left" w:pos="709"/>
        </w:tabs>
        <w:adjustRightInd w:val="0"/>
        <w:snapToGrid w:val="0"/>
        <w:spacing w:line="360" w:lineRule="auto"/>
        <w:ind w:left="426" w:hanging="283" w:firstLineChars="0"/>
        <w:jc w:val="left"/>
        <w:rPr>
          <w:rFonts w:ascii="宋体" w:hAnsi="宋体"/>
          <w:bCs/>
          <w:sz w:val="24"/>
        </w:rPr>
      </w:pPr>
      <w:r>
        <w:rPr>
          <w:rFonts w:ascii="宋体" w:hAnsi="宋体" w:hint="eastAsia"/>
          <w:bCs/>
          <w:sz w:val="24"/>
        </w:rPr>
        <w:t>具体、明确的质疑事项和与质疑事项相关的请求；</w:t>
      </w:r>
    </w:p>
    <w:p>
      <w:pPr>
        <w:pStyle w:val="ListParagraph"/>
        <w:widowControl/>
        <w:numPr>
          <w:ilvl w:val="1"/>
          <w:numId w:val="52"/>
        </w:numPr>
        <w:tabs>
          <w:tab w:val="left" w:pos="709"/>
        </w:tabs>
        <w:adjustRightInd w:val="0"/>
        <w:snapToGrid w:val="0"/>
        <w:spacing w:line="360" w:lineRule="auto"/>
        <w:ind w:left="426" w:hanging="283" w:firstLineChars="0"/>
        <w:jc w:val="left"/>
        <w:rPr>
          <w:rFonts w:ascii="宋体" w:hAnsi="宋体"/>
          <w:bCs/>
          <w:sz w:val="24"/>
        </w:rPr>
      </w:pPr>
      <w:r>
        <w:rPr>
          <w:rFonts w:ascii="宋体" w:hAnsi="宋体" w:hint="eastAsia"/>
          <w:bCs/>
          <w:sz w:val="24"/>
        </w:rPr>
        <w:t>事实依据；</w:t>
      </w:r>
    </w:p>
    <w:p>
      <w:pPr>
        <w:pStyle w:val="ListParagraph"/>
        <w:widowControl/>
        <w:numPr>
          <w:ilvl w:val="1"/>
          <w:numId w:val="52"/>
        </w:numPr>
        <w:tabs>
          <w:tab w:val="left" w:pos="709"/>
        </w:tabs>
        <w:adjustRightInd w:val="0"/>
        <w:snapToGrid w:val="0"/>
        <w:spacing w:line="360" w:lineRule="auto"/>
        <w:ind w:left="426" w:hanging="283" w:firstLineChars="0"/>
        <w:jc w:val="left"/>
        <w:rPr>
          <w:rFonts w:ascii="宋体" w:hAnsi="宋体"/>
          <w:bCs/>
          <w:sz w:val="24"/>
        </w:rPr>
      </w:pPr>
      <w:r>
        <w:rPr>
          <w:rFonts w:ascii="宋体" w:hAnsi="宋体" w:hint="eastAsia"/>
          <w:bCs/>
          <w:sz w:val="24"/>
        </w:rPr>
        <w:t>必要的法律依据；</w:t>
      </w:r>
    </w:p>
    <w:p>
      <w:pPr>
        <w:pStyle w:val="ListParagraph"/>
        <w:widowControl/>
        <w:numPr>
          <w:ilvl w:val="1"/>
          <w:numId w:val="52"/>
        </w:numPr>
        <w:tabs>
          <w:tab w:val="left" w:pos="709"/>
        </w:tabs>
        <w:adjustRightInd w:val="0"/>
        <w:snapToGrid w:val="0"/>
        <w:spacing w:line="360" w:lineRule="auto"/>
        <w:ind w:left="426" w:hanging="283" w:firstLineChars="0"/>
        <w:jc w:val="left"/>
        <w:rPr>
          <w:rFonts w:ascii="宋体" w:hAnsi="宋体"/>
          <w:bCs/>
          <w:sz w:val="24"/>
        </w:rPr>
      </w:pPr>
      <w:r>
        <w:rPr>
          <w:rFonts w:ascii="宋体" w:hAnsi="宋体" w:hint="eastAsia"/>
          <w:bCs/>
          <w:sz w:val="24"/>
        </w:rPr>
        <w:t>提出质疑的日期。</w:t>
      </w:r>
    </w:p>
    <w:p>
      <w:pPr>
        <w:numPr>
          <w:ilvl w:val="2"/>
          <w:numId w:val="60"/>
        </w:numPr>
        <w:autoSpaceDE w:val="0"/>
        <w:autoSpaceDN w:val="0"/>
        <w:adjustRightInd w:val="0"/>
        <w:snapToGrid w:val="0"/>
        <w:spacing w:line="360" w:lineRule="auto"/>
        <w:ind w:left="566" w:hanging="496" w:hangingChars="236"/>
        <w:rPr>
          <w:rFonts w:ascii="宋体" w:hAnsi="宋体" w:cs="黑体"/>
          <w:bCs/>
          <w:sz w:val="24"/>
        </w:rPr>
      </w:pPr>
      <w:r>
        <w:rPr>
          <w:rFonts w:ascii="宋体" w:hAnsi="宋体" w:cs="黑体" w:hint="eastAsia"/>
          <w:bCs/>
          <w:sz w:val="24"/>
        </w:rPr>
        <w:t>供应商为自然人的，质疑函应当由本人签字；供应商为法人或者其他组织的，应当由法定代表人、主要负责人或授权代表签字或者盖个人名章，并加盖公章。供应商递交质疑函时非法定代表人亲自办理的，应提供法定代表人授权委托书和授权代表身份证复印件，其授权委托书应载明授权代表的姓名或者名称、代理事项、具体权限、期限和相关事项。</w:t>
      </w:r>
    </w:p>
    <w:p>
      <w:pPr>
        <w:numPr>
          <w:ilvl w:val="1"/>
          <w:numId w:val="60"/>
        </w:numPr>
        <w:autoSpaceDE w:val="0"/>
        <w:autoSpaceDN w:val="0"/>
        <w:adjustRightInd w:val="0"/>
        <w:snapToGrid w:val="0"/>
        <w:spacing w:line="360" w:lineRule="auto"/>
        <w:ind w:left="566" w:hanging="496" w:hangingChars="236"/>
        <w:rPr>
          <w:rFonts w:ascii="宋体" w:hAnsi="宋体" w:cs="黑体"/>
          <w:bCs/>
          <w:sz w:val="24"/>
        </w:rPr>
      </w:pPr>
      <w:r>
        <w:rPr>
          <w:rFonts w:ascii="宋体" w:hAnsi="宋体" w:cs="黑体" w:hint="eastAsia"/>
          <w:bCs/>
          <w:sz w:val="24"/>
        </w:rPr>
        <w:t>供应商捏造事实、提供虚假材料或者以非法手段取得证明材料不能作为质疑的证明材料。</w:t>
      </w:r>
    </w:p>
    <w:p>
      <w:pPr>
        <w:numPr>
          <w:ilvl w:val="1"/>
          <w:numId w:val="60"/>
        </w:numPr>
        <w:autoSpaceDE w:val="0"/>
        <w:autoSpaceDN w:val="0"/>
        <w:adjustRightInd w:val="0"/>
        <w:snapToGrid w:val="0"/>
        <w:spacing w:line="360" w:lineRule="auto"/>
        <w:ind w:left="566" w:hanging="496" w:hangingChars="236"/>
        <w:rPr>
          <w:rFonts w:ascii="宋体" w:hAnsi="宋体" w:cs="黑体"/>
          <w:bCs/>
          <w:sz w:val="24"/>
        </w:rPr>
      </w:pPr>
      <w:r>
        <w:rPr>
          <w:rFonts w:ascii="宋体" w:hAnsi="宋体" w:cs="宋体" w:hint="eastAsia"/>
          <w:sz w:val="24"/>
          <w:lang w:eastAsia="zh-TW"/>
        </w:rPr>
        <w:t>采购人或者采购代理机构</w:t>
      </w:r>
      <w:r>
        <w:rPr>
          <w:rFonts w:ascii="宋体" w:hAnsi="宋体" w:hint="eastAsia"/>
          <w:sz w:val="24"/>
        </w:rPr>
        <w:t>在收到投标人的书面质疑后7个工作日内作出答复，并以书面形式通知质疑供应商和其他有关供应商，但答复内容不涉及商业秘密。质疑供应商须提供相关证明材料，包括但不限于权益受损害的情况说明及受损害的原因、证据内容等，并对质疑内容的真实性承担责任。</w:t>
      </w:r>
    </w:p>
    <w:p>
      <w:pPr>
        <w:numPr>
          <w:ilvl w:val="1"/>
          <w:numId w:val="60"/>
        </w:numPr>
        <w:autoSpaceDE w:val="0"/>
        <w:autoSpaceDN w:val="0"/>
        <w:adjustRightInd w:val="0"/>
        <w:snapToGrid w:val="0"/>
        <w:spacing w:line="360" w:lineRule="auto"/>
        <w:ind w:left="566" w:hanging="496" w:hangingChars="236"/>
        <w:rPr>
          <w:rFonts w:ascii="宋体" w:hAnsi="宋体" w:cs="黑体"/>
          <w:bCs/>
          <w:sz w:val="24"/>
        </w:rPr>
      </w:pPr>
      <w:r>
        <w:rPr>
          <w:rFonts w:hAnsi="宋体" w:hint="eastAsia"/>
          <w:snapToGrid w:val="0"/>
          <w:sz w:val="24"/>
        </w:rPr>
        <w:t>采购人或采购代理机构接收以书面形式递交的质疑函，接收质疑函的联系人、联系方式和通讯地址详见</w:t>
      </w:r>
      <w:r>
        <w:rPr>
          <w:rFonts w:hAnsi="宋体" w:hint="eastAsia"/>
          <w:b/>
          <w:snapToGrid w:val="0"/>
          <w:sz w:val="24"/>
        </w:rPr>
        <w:t>投标人须知前附表</w:t>
      </w:r>
      <w:r>
        <w:rPr>
          <w:rFonts w:ascii="宋体" w:hAnsi="宋体" w:hint="eastAsia"/>
          <w:sz w:val="24"/>
        </w:rPr>
        <w:t>。</w:t>
      </w:r>
    </w:p>
    <w:p>
      <w:pPr>
        <w:numPr>
          <w:ilvl w:val="1"/>
          <w:numId w:val="60"/>
        </w:numPr>
        <w:autoSpaceDE w:val="0"/>
        <w:autoSpaceDN w:val="0"/>
        <w:adjustRightInd w:val="0"/>
        <w:snapToGrid w:val="0"/>
        <w:spacing w:line="360" w:lineRule="auto"/>
        <w:ind w:left="566" w:hanging="496" w:hangingChars="236"/>
        <w:rPr>
          <w:rFonts w:ascii="宋体" w:hAnsi="宋体" w:cs="黑体"/>
          <w:bCs/>
          <w:sz w:val="24"/>
        </w:rPr>
      </w:pPr>
      <w:r>
        <w:rPr>
          <w:rFonts w:ascii="宋体" w:hAnsi="宋体" w:hint="eastAsia"/>
          <w:sz w:val="24"/>
        </w:rPr>
        <w:t>具体询问、质疑函的格式详见本须知附件。</w:t>
      </w:r>
    </w:p>
    <w:p>
      <w:pPr>
        <w:numPr>
          <w:ilvl w:val="0"/>
          <w:numId w:val="60"/>
        </w:numPr>
        <w:autoSpaceDE w:val="0"/>
        <w:autoSpaceDN w:val="0"/>
        <w:adjustRightInd w:val="0"/>
        <w:snapToGrid w:val="0"/>
        <w:spacing w:line="360" w:lineRule="auto"/>
        <w:ind w:left="487" w:hanging="424" w:hangingChars="202"/>
        <w:outlineLvl w:val="3"/>
        <w:rPr>
          <w:rFonts w:ascii="宋体" w:hAnsi="宋体"/>
          <w:b/>
          <w:bCs/>
          <w:sz w:val="24"/>
        </w:rPr>
      </w:pPr>
      <w:r>
        <w:rPr>
          <w:rFonts w:ascii="宋体" w:hAnsi="宋体" w:hint="eastAsia"/>
          <w:b/>
          <w:bCs/>
          <w:sz w:val="24"/>
        </w:rPr>
        <w:t>投诉</w:t>
      </w:r>
    </w:p>
    <w:p>
      <w:pPr>
        <w:tabs>
          <w:tab w:val="left" w:pos="709"/>
        </w:tabs>
        <w:autoSpaceDE w:val="0"/>
        <w:autoSpaceDN w:val="0"/>
        <w:adjustRightInd w:val="0"/>
        <w:snapToGrid w:val="0"/>
        <w:spacing w:line="360" w:lineRule="auto"/>
        <w:ind w:firstLine="420" w:firstLineChars="200"/>
        <w:rPr>
          <w:rFonts w:ascii="宋体" w:hAnsi="宋体" w:cs="宋体"/>
          <w:szCs w:val="21"/>
        </w:rPr>
      </w:pPr>
      <w:r>
        <w:rPr>
          <w:rFonts w:ascii="宋体" w:hAnsi="宋体" w:hint="eastAsia"/>
          <w:sz w:val="24"/>
        </w:rPr>
        <w:t>质疑供应商对</w:t>
      </w:r>
      <w:r>
        <w:rPr>
          <w:rFonts w:ascii="宋体" w:hAnsi="宋体" w:cs="宋体" w:hint="eastAsia"/>
          <w:sz w:val="24"/>
          <w:lang w:eastAsia="zh-TW"/>
        </w:rPr>
        <w:t>采购人或者采购代理机构</w:t>
      </w:r>
      <w:r>
        <w:rPr>
          <w:rFonts w:ascii="宋体" w:hAnsi="宋体" w:hint="eastAsia"/>
          <w:sz w:val="24"/>
        </w:rPr>
        <w:t>的质疑答复不满意，或</w:t>
      </w:r>
      <w:r>
        <w:rPr>
          <w:rFonts w:ascii="宋体" w:hAnsi="宋体" w:cs="宋体" w:hint="eastAsia"/>
          <w:sz w:val="24"/>
          <w:lang w:eastAsia="zh-TW"/>
        </w:rPr>
        <w:t>采购人或者采购代理机构</w:t>
      </w:r>
      <w:r>
        <w:rPr>
          <w:rFonts w:ascii="宋体" w:hAnsi="宋体" w:hint="eastAsia"/>
          <w:sz w:val="24"/>
        </w:rPr>
        <w:t>未在规定期限内作出答复的，可以在答复期满后十五个工作日内向政府采购监督管理部门提出投诉。</w:t>
      </w:r>
    </w:p>
    <w:p>
      <w:pPr>
        <w:widowControl/>
        <w:jc w:val="left"/>
        <w:rPr>
          <w:rFonts w:ascii="宋体" w:hAnsi="宋体" w:cs="宋体"/>
          <w:szCs w:val="21"/>
        </w:rPr>
      </w:pPr>
      <w:r>
        <w:rPr>
          <w:rFonts w:ascii="宋体" w:hAnsi="宋体" w:cs="宋体"/>
          <w:szCs w:val="21"/>
        </w:rPr>
        <w:br w:type="page"/>
      </w:r>
    </w:p>
    <w:p>
      <w:pPr>
        <w:autoSpaceDE w:val="0"/>
        <w:autoSpaceDN w:val="0"/>
        <w:adjustRightInd w:val="0"/>
        <w:snapToGrid w:val="0"/>
        <w:spacing w:line="360" w:lineRule="auto"/>
        <w:rPr>
          <w:rFonts w:ascii="宋体" w:hAnsi="宋体"/>
          <w:b/>
          <w:color w:val="000000"/>
          <w:sz w:val="24"/>
        </w:rPr>
      </w:pPr>
      <w:r>
        <w:rPr>
          <w:rFonts w:ascii="宋体" w:hAnsi="宋体" w:hint="eastAsia"/>
          <w:b/>
          <w:bCs/>
          <w:sz w:val="24"/>
        </w:rPr>
        <w:t>附件：询问函、质疑函格式</w:t>
      </w:r>
    </w:p>
    <w:p>
      <w:pPr>
        <w:snapToGrid w:val="0"/>
        <w:spacing w:line="360" w:lineRule="auto"/>
        <w:rPr>
          <w:rFonts w:ascii="宋体" w:hAnsi="宋体"/>
          <w:b/>
          <w:color w:val="000000"/>
          <w:sz w:val="24"/>
        </w:rPr>
      </w:pPr>
      <w:r>
        <w:rPr>
          <w:rFonts w:ascii="宋体" w:hAnsi="宋体" w:hint="eastAsia"/>
          <w:b/>
          <w:color w:val="000000"/>
          <w:sz w:val="24"/>
        </w:rPr>
        <w:t>说明：本部分格式为投标人提交询问函、质疑函时使用，不属于投标文件格式的组成部分。</w:t>
      </w:r>
    </w:p>
    <w:p>
      <w:pPr>
        <w:pStyle w:val="NormalWeb"/>
        <w:adjustRightInd w:val="0"/>
        <w:snapToGrid w:val="0"/>
        <w:spacing w:before="0" w:beforeAutospacing="0" w:after="0" w:afterAutospacing="0" w:line="360" w:lineRule="auto"/>
        <w:jc w:val="both"/>
      </w:pPr>
    </w:p>
    <w:p>
      <w:pPr>
        <w:pStyle w:val="NormalWeb"/>
        <w:adjustRightInd w:val="0"/>
        <w:snapToGrid w:val="0"/>
        <w:spacing w:before="0" w:beforeAutospacing="0" w:after="0" w:afterAutospacing="0" w:line="360" w:lineRule="auto"/>
        <w:jc w:val="both"/>
        <w:rPr>
          <w:b/>
        </w:rPr>
      </w:pPr>
      <w:r>
        <w:rPr>
          <w:rFonts w:hint="eastAsia"/>
          <w:b/>
        </w:rPr>
        <w:t>1.询问函格式</w:t>
      </w:r>
    </w:p>
    <w:p>
      <w:pPr>
        <w:pStyle w:val="NormalWeb"/>
        <w:spacing w:before="0" w:beforeAutospacing="0" w:after="0" w:afterAutospacing="0" w:line="360" w:lineRule="auto"/>
        <w:jc w:val="center"/>
        <w:rPr>
          <w:rStyle w:val="Strong"/>
        </w:rPr>
      </w:pPr>
      <w:r>
        <w:rPr>
          <w:rStyle w:val="Strong"/>
          <w:rFonts w:hint="eastAsia"/>
        </w:rPr>
        <w:t>询问函</w:t>
      </w:r>
    </w:p>
    <w:p>
      <w:pPr>
        <w:widowControl/>
        <w:snapToGrid w:val="0"/>
        <w:spacing w:line="360" w:lineRule="auto"/>
        <w:rPr>
          <w:rFonts w:ascii="宋体" w:hAnsi="宋体"/>
          <w:sz w:val="24"/>
        </w:rPr>
      </w:pPr>
      <w:r>
        <w:rPr>
          <w:rFonts w:ascii="宋体" w:hAnsi="宋体" w:hint="eastAsia"/>
          <w:sz w:val="24"/>
          <w:u w:val="single"/>
        </w:rPr>
        <w:t>采联国际招标采购集团有限公司</w:t>
      </w:r>
      <w:r>
        <w:rPr>
          <w:rFonts w:ascii="宋体" w:hAnsi="宋体" w:hint="eastAsia"/>
          <w:sz w:val="24"/>
        </w:rPr>
        <w:t>：</w:t>
      </w:r>
    </w:p>
    <w:p>
      <w:pPr>
        <w:widowControl/>
        <w:tabs>
          <w:tab w:val="left" w:pos="6300"/>
        </w:tabs>
        <w:snapToGrid w:val="0"/>
        <w:spacing w:line="360" w:lineRule="auto"/>
        <w:ind w:firstLine="420" w:firstLineChars="200"/>
        <w:rPr>
          <w:rFonts w:ascii="宋体" w:hAnsi="宋体"/>
          <w:sz w:val="24"/>
        </w:rPr>
      </w:pPr>
      <w:r>
        <w:rPr>
          <w:rFonts w:ascii="宋体" w:hAnsi="宋体" w:hint="eastAsia"/>
          <w:sz w:val="24"/>
        </w:rPr>
        <w:t>我单位已报名并准备参与</w:t>
      </w:r>
      <w:r>
        <w:rPr>
          <w:rFonts w:ascii="宋体" w:hAnsi="宋体" w:hint="eastAsia"/>
          <w:sz w:val="24"/>
          <w:u w:val="single"/>
          <w:lang w:eastAsia="zh-CN"/>
        </w:rPr>
        <w:t>2023-2024年基准年碳核查全流程技术支持服务</w:t>
      </w:r>
      <w:r>
        <w:rPr>
          <w:rFonts w:ascii="宋体" w:hAnsi="宋体" w:hint="eastAsia"/>
          <w:sz w:val="24"/>
        </w:rPr>
        <w:t>（项目采购编号：</w:t>
      </w:r>
      <w:r>
        <w:rPr>
          <w:rFonts w:ascii="宋体" w:hAnsi="宋体" w:hint="eastAsia"/>
          <w:sz w:val="24"/>
          <w:lang w:eastAsia="zh-CN"/>
        </w:rPr>
        <w:t>SZDL2022002374（CLF0122SZ17ZC77）</w:t>
      </w:r>
      <w:r>
        <w:rPr>
          <w:rFonts w:ascii="宋体" w:hAnsi="宋体" w:hint="eastAsia"/>
          <w:sz w:val="24"/>
        </w:rPr>
        <w:t>）的投标（或报价）活动，现有以下几个内容（或条款）存在疑问（或无法理解），特提出询问。</w:t>
      </w:r>
    </w:p>
    <w:p>
      <w:pPr>
        <w:widowControl/>
        <w:tabs>
          <w:tab w:val="center" w:pos="5019"/>
        </w:tabs>
        <w:snapToGrid w:val="0"/>
        <w:spacing w:line="360" w:lineRule="auto"/>
        <w:ind w:firstLine="420" w:firstLineChars="200"/>
        <w:rPr>
          <w:rFonts w:ascii="宋体" w:hAnsi="宋体"/>
          <w:sz w:val="24"/>
        </w:rPr>
      </w:pPr>
      <w:r>
        <w:rPr>
          <w:rFonts w:ascii="宋体" w:hAnsi="宋体" w:hint="eastAsia"/>
          <w:sz w:val="24"/>
        </w:rPr>
        <w:t>一、_____________________（事项一）</w:t>
      </w:r>
      <w:r>
        <w:rPr>
          <w:rFonts w:ascii="宋体" w:hAnsi="宋体"/>
          <w:sz w:val="24"/>
        </w:rPr>
        <w:tab/>
      </w:r>
    </w:p>
    <w:p>
      <w:pPr>
        <w:widowControl/>
        <w:tabs>
          <w:tab w:val="left" w:pos="6300"/>
        </w:tabs>
        <w:snapToGrid w:val="0"/>
        <w:spacing w:line="360" w:lineRule="auto"/>
        <w:ind w:firstLine="420" w:firstLineChars="200"/>
        <w:rPr>
          <w:rFonts w:ascii="宋体" w:hAnsi="宋体"/>
          <w:sz w:val="24"/>
        </w:rPr>
      </w:pPr>
      <w:r>
        <w:rPr>
          <w:rFonts w:ascii="宋体" w:hAnsi="宋体" w:hint="eastAsia"/>
          <w:sz w:val="24"/>
        </w:rPr>
        <w:t>（1）____________________（问题或条款内容）</w:t>
      </w:r>
    </w:p>
    <w:p>
      <w:pPr>
        <w:widowControl/>
        <w:tabs>
          <w:tab w:val="left" w:pos="6300"/>
        </w:tabs>
        <w:snapToGrid w:val="0"/>
        <w:spacing w:line="360" w:lineRule="auto"/>
        <w:ind w:firstLine="420" w:firstLineChars="200"/>
        <w:rPr>
          <w:rFonts w:ascii="宋体" w:hAnsi="宋体"/>
          <w:sz w:val="24"/>
        </w:rPr>
      </w:pPr>
      <w:r>
        <w:rPr>
          <w:rFonts w:ascii="宋体" w:hAnsi="宋体" w:hint="eastAsia"/>
          <w:sz w:val="24"/>
        </w:rPr>
        <w:t>（2）____________________（说明疑问或无法理解原因）</w:t>
      </w:r>
    </w:p>
    <w:p>
      <w:pPr>
        <w:widowControl/>
        <w:tabs>
          <w:tab w:val="left" w:pos="6300"/>
        </w:tabs>
        <w:snapToGrid w:val="0"/>
        <w:spacing w:line="360" w:lineRule="auto"/>
        <w:ind w:firstLine="420" w:firstLineChars="200"/>
        <w:rPr>
          <w:rFonts w:ascii="宋体" w:hAnsi="宋体"/>
          <w:sz w:val="24"/>
        </w:rPr>
      </w:pPr>
      <w:r>
        <w:rPr>
          <w:rFonts w:ascii="宋体" w:hAnsi="宋体" w:hint="eastAsia"/>
          <w:sz w:val="24"/>
        </w:rPr>
        <w:t>（3）____________________（建议）</w:t>
      </w:r>
    </w:p>
    <w:p>
      <w:pPr>
        <w:widowControl/>
        <w:tabs>
          <w:tab w:val="left" w:pos="6300"/>
        </w:tabs>
        <w:snapToGrid w:val="0"/>
        <w:spacing w:line="360" w:lineRule="auto"/>
        <w:ind w:firstLine="420" w:firstLineChars="200"/>
        <w:rPr>
          <w:rFonts w:ascii="宋体" w:hAnsi="宋体"/>
          <w:sz w:val="24"/>
        </w:rPr>
      </w:pPr>
      <w:r>
        <w:rPr>
          <w:rFonts w:ascii="宋体" w:hAnsi="宋体" w:hint="eastAsia"/>
          <w:sz w:val="24"/>
        </w:rPr>
        <w:t>二、_____________________（事项二）</w:t>
      </w:r>
    </w:p>
    <w:p>
      <w:pPr>
        <w:widowControl/>
        <w:tabs>
          <w:tab w:val="left" w:pos="6300"/>
        </w:tabs>
        <w:snapToGrid w:val="0"/>
        <w:spacing w:line="360" w:lineRule="auto"/>
        <w:ind w:firstLine="420" w:firstLineChars="200"/>
        <w:rPr>
          <w:rFonts w:ascii="宋体" w:hAnsi="宋体"/>
          <w:sz w:val="24"/>
        </w:rPr>
      </w:pPr>
      <w:r>
        <w:rPr>
          <w:rFonts w:ascii="宋体" w:hAnsi="宋体" w:hint="eastAsia"/>
          <w:sz w:val="24"/>
        </w:rPr>
        <w:t>……</w:t>
      </w:r>
    </w:p>
    <w:p>
      <w:pPr>
        <w:widowControl/>
        <w:tabs>
          <w:tab w:val="left" w:pos="6300"/>
        </w:tabs>
        <w:snapToGrid w:val="0"/>
        <w:spacing w:line="360" w:lineRule="auto"/>
        <w:jc w:val="left"/>
        <w:rPr>
          <w:rFonts w:ascii="宋体" w:hAnsi="宋体"/>
          <w:b/>
          <w:sz w:val="24"/>
        </w:rPr>
      </w:pPr>
      <w:r>
        <w:rPr>
          <w:rFonts w:ascii="宋体" w:hAnsi="宋体" w:hint="eastAsia"/>
          <w:b/>
          <w:sz w:val="24"/>
        </w:rPr>
        <w:t>随附相关证明材料如下：（目录）。</w:t>
      </w:r>
    </w:p>
    <w:p>
      <w:pPr>
        <w:widowControl/>
        <w:tabs>
          <w:tab w:val="left" w:pos="6300"/>
        </w:tabs>
        <w:snapToGrid w:val="0"/>
        <w:spacing w:line="360" w:lineRule="auto"/>
        <w:ind w:firstLine="1260" w:firstLineChars="600"/>
        <w:rPr>
          <w:rFonts w:ascii="宋体" w:hAnsi="宋体"/>
          <w:sz w:val="24"/>
        </w:rPr>
      </w:pPr>
    </w:p>
    <w:p>
      <w:pPr>
        <w:widowControl/>
        <w:tabs>
          <w:tab w:val="left" w:pos="6300"/>
        </w:tabs>
        <w:snapToGrid w:val="0"/>
        <w:spacing w:line="360" w:lineRule="auto"/>
        <w:jc w:val="left"/>
        <w:rPr>
          <w:rFonts w:ascii="宋体" w:hAnsi="宋体"/>
          <w:sz w:val="24"/>
        </w:rPr>
      </w:pPr>
      <w:r>
        <w:rPr>
          <w:rFonts w:ascii="宋体" w:hAnsi="宋体" w:hint="eastAsia"/>
          <w:sz w:val="24"/>
        </w:rPr>
        <w:t>询问人（公章）：</w:t>
      </w:r>
    </w:p>
    <w:p>
      <w:pPr>
        <w:widowControl/>
        <w:tabs>
          <w:tab w:val="left" w:pos="6300"/>
        </w:tabs>
        <w:snapToGrid w:val="0"/>
        <w:spacing w:line="360" w:lineRule="auto"/>
        <w:jc w:val="left"/>
        <w:rPr>
          <w:rFonts w:ascii="宋体" w:hAnsi="宋体"/>
          <w:sz w:val="24"/>
        </w:rPr>
      </w:pPr>
      <w:r>
        <w:rPr>
          <w:rFonts w:ascii="宋体" w:hAnsi="宋体" w:hint="eastAsia"/>
          <w:sz w:val="24"/>
        </w:rPr>
        <w:t>法定代表人（授权代表）：</w:t>
      </w:r>
    </w:p>
    <w:p>
      <w:pPr>
        <w:tabs>
          <w:tab w:val="left" w:pos="6300"/>
        </w:tabs>
        <w:snapToGrid w:val="0"/>
        <w:spacing w:line="360" w:lineRule="auto"/>
        <w:jc w:val="left"/>
        <w:rPr>
          <w:rFonts w:ascii="宋体" w:hAnsi="宋体"/>
          <w:sz w:val="24"/>
        </w:rPr>
      </w:pPr>
      <w:r>
        <w:rPr>
          <w:rFonts w:ascii="宋体" w:hAnsi="宋体" w:hint="eastAsia"/>
          <w:sz w:val="24"/>
        </w:rPr>
        <w:t>地址/邮编：</w:t>
      </w:r>
    </w:p>
    <w:p>
      <w:pPr>
        <w:tabs>
          <w:tab w:val="left" w:pos="6300"/>
        </w:tabs>
        <w:snapToGrid w:val="0"/>
        <w:spacing w:line="360" w:lineRule="auto"/>
        <w:jc w:val="left"/>
        <w:rPr>
          <w:rFonts w:ascii="宋体" w:hAnsi="宋体"/>
          <w:sz w:val="24"/>
        </w:rPr>
      </w:pPr>
      <w:r>
        <w:rPr>
          <w:rFonts w:ascii="宋体" w:hAnsi="宋体" w:hint="eastAsia"/>
          <w:sz w:val="24"/>
        </w:rPr>
        <w:t>电话/传真：</w:t>
      </w:r>
    </w:p>
    <w:p>
      <w:pPr>
        <w:tabs>
          <w:tab w:val="left" w:pos="6300"/>
        </w:tabs>
        <w:snapToGrid w:val="0"/>
        <w:spacing w:line="360" w:lineRule="auto"/>
        <w:jc w:val="left"/>
        <w:rPr>
          <w:rFonts w:ascii="宋体" w:hAnsi="宋体"/>
          <w:sz w:val="24"/>
        </w:rPr>
      </w:pPr>
      <w:r>
        <w:rPr>
          <w:rFonts w:ascii="宋体" w:hAnsi="宋体" w:hint="eastAsia"/>
          <w:sz w:val="24"/>
        </w:rPr>
        <w:t>电子邮箱：</w:t>
      </w:r>
    </w:p>
    <w:p>
      <w:pPr>
        <w:wordWrap w:val="0"/>
        <w:spacing w:line="360" w:lineRule="auto"/>
        <w:jc w:val="left"/>
        <w:rPr>
          <w:rFonts w:ascii="宋体" w:hAnsi="宋体"/>
          <w:sz w:val="24"/>
        </w:rPr>
      </w:pPr>
      <w:r>
        <w:rPr>
          <w:rFonts w:ascii="宋体" w:hAnsi="宋体" w:hint="eastAsia"/>
          <w:sz w:val="24"/>
        </w:rPr>
        <w:t>日期：  年   月  日</w:t>
      </w:r>
    </w:p>
    <w:p>
      <w:pPr>
        <w:snapToGrid w:val="0"/>
        <w:spacing w:line="360" w:lineRule="auto"/>
        <w:ind w:firstLine="422" w:firstLineChars="201"/>
        <w:rPr>
          <w:rFonts w:ascii="宋体" w:hAnsi="宋体"/>
          <w:sz w:val="24"/>
        </w:rPr>
      </w:pPr>
    </w:p>
    <w:p>
      <w:pPr>
        <w:pStyle w:val="NormalWeb"/>
        <w:adjustRightInd w:val="0"/>
        <w:snapToGrid w:val="0"/>
        <w:spacing w:before="0" w:beforeAutospacing="0" w:after="0" w:afterAutospacing="0" w:line="360" w:lineRule="auto"/>
        <w:jc w:val="both"/>
      </w:pPr>
      <w:r>
        <w:br w:type="page"/>
      </w:r>
      <w:r>
        <w:rPr>
          <w:rFonts w:hint="eastAsia"/>
          <w:b/>
        </w:rPr>
        <w:t>2.质疑函格式</w:t>
      </w:r>
    </w:p>
    <w:p>
      <w:pPr>
        <w:jc w:val="center"/>
        <w:rPr>
          <w:rFonts w:ascii="宋体" w:hAnsi="宋体" w:cs="仿宋"/>
          <w:b/>
          <w:bCs/>
          <w:sz w:val="24"/>
        </w:rPr>
      </w:pPr>
      <w:r>
        <w:rPr>
          <w:rFonts w:ascii="宋体" w:hAnsi="宋体" w:cs="仿宋" w:hint="eastAsia"/>
          <w:b/>
          <w:bCs/>
          <w:sz w:val="24"/>
        </w:rPr>
        <w:t>质疑函范本</w:t>
      </w:r>
    </w:p>
    <w:p>
      <w:pPr>
        <w:adjustRightInd w:val="0"/>
        <w:snapToGrid w:val="0"/>
        <w:spacing w:line="360" w:lineRule="auto"/>
        <w:rPr>
          <w:rFonts w:ascii="宋体" w:hAnsi="宋体" w:cs="仿宋"/>
          <w:b/>
          <w:bCs/>
          <w:sz w:val="24"/>
        </w:rPr>
      </w:pPr>
      <w:r>
        <w:rPr>
          <w:rFonts w:ascii="宋体" w:hAnsi="宋体" w:cs="仿宋" w:hint="eastAsia"/>
          <w:b/>
          <w:bCs/>
          <w:sz w:val="24"/>
        </w:rPr>
        <w:t>一、质疑供应商基本信息</w:t>
      </w:r>
    </w:p>
    <w:p>
      <w:pPr>
        <w:adjustRightInd w:val="0"/>
        <w:snapToGrid w:val="0"/>
        <w:spacing w:line="360" w:lineRule="auto"/>
        <w:rPr>
          <w:rFonts w:ascii="宋体" w:hAnsi="宋体" w:cs="仿宋"/>
          <w:sz w:val="24"/>
          <w:u w:val="dotted"/>
        </w:rPr>
      </w:pPr>
      <w:r>
        <w:rPr>
          <w:rFonts w:ascii="宋体" w:hAnsi="宋体" w:cs="仿宋" w:hint="eastAsia"/>
          <w:sz w:val="24"/>
        </w:rPr>
        <w:t>质疑供应商：</w:t>
      </w:r>
      <w:r>
        <w:rPr>
          <w:rFonts w:ascii="宋体" w:hAnsi="宋体" w:cs="仿宋" w:hint="eastAsia"/>
          <w:sz w:val="24"/>
          <w:u w:val="single"/>
        </w:rPr>
        <w:t xml:space="preserve">                                        </w:t>
      </w:r>
    </w:p>
    <w:p>
      <w:pPr>
        <w:adjustRightInd w:val="0"/>
        <w:snapToGrid w:val="0"/>
        <w:spacing w:line="360" w:lineRule="auto"/>
        <w:rPr>
          <w:rFonts w:ascii="宋体" w:hAnsi="宋体" w:cs="仿宋"/>
          <w:sz w:val="24"/>
        </w:rPr>
      </w:pPr>
      <w:r>
        <w:rPr>
          <w:rFonts w:ascii="宋体" w:hAnsi="宋体" w:cs="仿宋" w:hint="eastAsia"/>
          <w:sz w:val="24"/>
        </w:rPr>
        <w:t>地址：</w:t>
      </w:r>
      <w:r>
        <w:rPr>
          <w:rFonts w:ascii="宋体" w:hAnsi="宋体" w:cs="仿宋" w:hint="eastAsia"/>
          <w:sz w:val="24"/>
          <w:u w:val="single"/>
        </w:rPr>
        <w:t xml:space="preserve">                          </w:t>
      </w:r>
      <w:r>
        <w:rPr>
          <w:rFonts w:ascii="宋体" w:hAnsi="宋体" w:cs="仿宋" w:hint="eastAsia"/>
          <w:sz w:val="24"/>
        </w:rPr>
        <w:t>邮编：</w:t>
      </w:r>
      <w:r>
        <w:rPr>
          <w:rFonts w:ascii="宋体" w:hAnsi="宋体" w:cs="仿宋" w:hint="eastAsia"/>
          <w:sz w:val="24"/>
          <w:u w:val="single"/>
        </w:rPr>
        <w:t xml:space="preserve">                                                   </w:t>
      </w:r>
    </w:p>
    <w:p>
      <w:pPr>
        <w:adjustRightInd w:val="0"/>
        <w:snapToGrid w:val="0"/>
        <w:spacing w:line="360" w:lineRule="auto"/>
        <w:rPr>
          <w:rFonts w:ascii="宋体" w:hAnsi="宋体" w:cs="仿宋"/>
          <w:sz w:val="24"/>
        </w:rPr>
      </w:pPr>
      <w:r>
        <w:rPr>
          <w:rFonts w:ascii="宋体" w:hAnsi="宋体" w:cs="仿宋" w:hint="eastAsia"/>
          <w:sz w:val="24"/>
        </w:rPr>
        <w:t>联系人：</w:t>
      </w:r>
      <w:r>
        <w:rPr>
          <w:rFonts w:ascii="宋体" w:hAnsi="宋体" w:cs="仿宋" w:hint="eastAsia"/>
          <w:sz w:val="24"/>
          <w:u w:val="single"/>
        </w:rPr>
        <w:t xml:space="preserve">                      </w:t>
      </w:r>
      <w:r>
        <w:rPr>
          <w:rFonts w:ascii="宋体" w:hAnsi="宋体" w:cs="仿宋" w:hint="eastAsia"/>
          <w:sz w:val="24"/>
        </w:rPr>
        <w:t>联系电话：</w:t>
      </w:r>
      <w:r>
        <w:rPr>
          <w:rFonts w:ascii="宋体" w:hAnsi="宋体" w:cs="仿宋" w:hint="eastAsia"/>
          <w:sz w:val="24"/>
          <w:u w:val="single"/>
        </w:rPr>
        <w:t xml:space="preserve">                              </w:t>
      </w:r>
    </w:p>
    <w:p>
      <w:pPr>
        <w:adjustRightInd w:val="0"/>
        <w:snapToGrid w:val="0"/>
        <w:spacing w:line="360" w:lineRule="auto"/>
        <w:rPr>
          <w:rFonts w:ascii="宋体" w:hAnsi="宋体" w:cs="仿宋"/>
          <w:sz w:val="24"/>
          <w:u w:val="dotted"/>
        </w:rPr>
      </w:pPr>
      <w:r>
        <w:rPr>
          <w:rFonts w:ascii="宋体" w:hAnsi="宋体" w:cs="仿宋" w:hint="eastAsia"/>
          <w:sz w:val="24"/>
        </w:rPr>
        <w:t>授权代表：</w:t>
      </w:r>
      <w:r>
        <w:rPr>
          <w:rFonts w:ascii="宋体" w:hAnsi="宋体" w:cs="仿宋" w:hint="eastAsia"/>
          <w:sz w:val="24"/>
          <w:u w:val="single"/>
        </w:rPr>
        <w:t xml:space="preserve">                                          </w:t>
      </w:r>
    </w:p>
    <w:p>
      <w:pPr>
        <w:adjustRightInd w:val="0"/>
        <w:snapToGrid w:val="0"/>
        <w:spacing w:line="360" w:lineRule="auto"/>
        <w:rPr>
          <w:rFonts w:ascii="宋体" w:hAnsi="宋体" w:cs="仿宋"/>
          <w:sz w:val="24"/>
        </w:rPr>
      </w:pPr>
      <w:r>
        <w:rPr>
          <w:rFonts w:ascii="宋体" w:hAnsi="宋体" w:cs="仿宋" w:hint="eastAsia"/>
          <w:sz w:val="24"/>
        </w:rPr>
        <w:t>联系电话：</w:t>
      </w:r>
      <w:r>
        <w:rPr>
          <w:rFonts w:ascii="宋体" w:hAnsi="宋体" w:cs="仿宋" w:hint="eastAsia"/>
          <w:sz w:val="24"/>
          <w:u w:val="single"/>
        </w:rPr>
        <w:t xml:space="preserve">                                           </w:t>
      </w:r>
      <w:r>
        <w:rPr>
          <w:rFonts w:ascii="宋体" w:hAnsi="宋体" w:cs="仿宋"/>
          <w:sz w:val="24"/>
        </w:rPr>
        <w:t xml:space="preserve"> </w:t>
      </w:r>
    </w:p>
    <w:p>
      <w:pPr>
        <w:adjustRightInd w:val="0"/>
        <w:snapToGrid w:val="0"/>
        <w:spacing w:line="360" w:lineRule="auto"/>
        <w:rPr>
          <w:rFonts w:ascii="宋体" w:hAnsi="宋体" w:cs="仿宋"/>
          <w:sz w:val="24"/>
        </w:rPr>
      </w:pPr>
      <w:r>
        <w:rPr>
          <w:rFonts w:ascii="宋体" w:hAnsi="宋体" w:cs="仿宋" w:hint="eastAsia"/>
          <w:sz w:val="24"/>
        </w:rPr>
        <w:t>地址：</w:t>
      </w:r>
      <w:r>
        <w:rPr>
          <w:rFonts w:ascii="宋体" w:hAnsi="宋体" w:cs="仿宋"/>
          <w:sz w:val="24"/>
          <w:u w:val="single"/>
        </w:rPr>
        <w:t xml:space="preserve"> </w:t>
      </w:r>
      <w:r>
        <w:rPr>
          <w:rFonts w:ascii="宋体" w:hAnsi="宋体" w:cs="仿宋" w:hint="eastAsia"/>
          <w:sz w:val="24"/>
          <w:u w:val="single"/>
        </w:rPr>
        <w:t xml:space="preserve">                        </w:t>
      </w:r>
      <w:r>
        <w:rPr>
          <w:rFonts w:ascii="宋体" w:hAnsi="宋体" w:cs="仿宋" w:hint="eastAsia"/>
          <w:sz w:val="24"/>
        </w:rPr>
        <w:t>邮编：</w:t>
      </w:r>
      <w:r>
        <w:rPr>
          <w:rFonts w:ascii="宋体" w:hAnsi="宋体" w:cs="仿宋" w:hint="eastAsia"/>
          <w:sz w:val="24"/>
          <w:u w:val="single"/>
        </w:rPr>
        <w:t xml:space="preserve">                                                </w:t>
      </w:r>
    </w:p>
    <w:p>
      <w:pPr>
        <w:adjustRightInd w:val="0"/>
        <w:snapToGrid w:val="0"/>
        <w:spacing w:line="360" w:lineRule="auto"/>
        <w:rPr>
          <w:rFonts w:ascii="宋体" w:hAnsi="宋体" w:cs="仿宋"/>
          <w:b/>
          <w:bCs/>
          <w:sz w:val="24"/>
        </w:rPr>
      </w:pPr>
      <w:r>
        <w:rPr>
          <w:rFonts w:ascii="宋体" w:hAnsi="宋体" w:cs="仿宋" w:hint="eastAsia"/>
          <w:b/>
          <w:bCs/>
          <w:sz w:val="24"/>
        </w:rPr>
        <w:t>二、质疑项目基本情况</w:t>
      </w:r>
    </w:p>
    <w:p>
      <w:pPr>
        <w:adjustRightInd w:val="0"/>
        <w:snapToGrid w:val="0"/>
        <w:spacing w:line="360" w:lineRule="auto"/>
        <w:rPr>
          <w:rFonts w:ascii="宋体" w:hAnsi="宋体" w:cs="仿宋"/>
          <w:sz w:val="24"/>
        </w:rPr>
      </w:pPr>
      <w:r>
        <w:rPr>
          <w:rFonts w:ascii="宋体" w:hAnsi="宋体" w:cs="仿宋" w:hint="eastAsia"/>
          <w:sz w:val="24"/>
        </w:rPr>
        <w:t>质疑项目的名称：</w:t>
      </w:r>
      <w:r>
        <w:rPr>
          <w:rFonts w:ascii="宋体" w:hAnsi="宋体" w:cs="仿宋" w:hint="eastAsia"/>
          <w:sz w:val="24"/>
          <w:u w:val="single"/>
        </w:rPr>
        <w:t xml:space="preserve">                                      </w:t>
      </w:r>
    </w:p>
    <w:p>
      <w:pPr>
        <w:adjustRightInd w:val="0"/>
        <w:snapToGrid w:val="0"/>
        <w:spacing w:line="360" w:lineRule="auto"/>
        <w:rPr>
          <w:rFonts w:ascii="宋体" w:hAnsi="宋体" w:cs="仿宋"/>
          <w:sz w:val="24"/>
        </w:rPr>
      </w:pPr>
      <w:r>
        <w:rPr>
          <w:rFonts w:ascii="宋体" w:hAnsi="宋体" w:cs="仿宋" w:hint="eastAsia"/>
          <w:sz w:val="24"/>
        </w:rPr>
        <w:t>质疑项目的编号：</w:t>
      </w:r>
      <w:r>
        <w:rPr>
          <w:rFonts w:ascii="宋体" w:hAnsi="宋体" w:cs="仿宋" w:hint="eastAsia"/>
          <w:sz w:val="24"/>
          <w:u w:val="single"/>
        </w:rPr>
        <w:t xml:space="preserve">               </w:t>
      </w:r>
      <w:r>
        <w:rPr>
          <w:rFonts w:ascii="宋体" w:hAnsi="宋体" w:cs="仿宋" w:hint="eastAsia"/>
          <w:sz w:val="24"/>
        </w:rPr>
        <w:t>包号：</w:t>
      </w:r>
      <w:r>
        <w:rPr>
          <w:rFonts w:ascii="宋体" w:hAnsi="宋体" w:cs="仿宋" w:hint="eastAsia"/>
          <w:sz w:val="24"/>
          <w:u w:val="single"/>
        </w:rPr>
        <w:t xml:space="preserve">                 </w:t>
      </w:r>
    </w:p>
    <w:p>
      <w:pPr>
        <w:adjustRightInd w:val="0"/>
        <w:snapToGrid w:val="0"/>
        <w:spacing w:line="360" w:lineRule="auto"/>
        <w:rPr>
          <w:rFonts w:ascii="宋体" w:hAnsi="宋体" w:cs="仿宋"/>
          <w:sz w:val="24"/>
          <w:u w:val="single"/>
        </w:rPr>
      </w:pPr>
      <w:r>
        <w:rPr>
          <w:rFonts w:ascii="宋体" w:hAnsi="宋体" w:cs="仿宋" w:hint="eastAsia"/>
          <w:sz w:val="24"/>
        </w:rPr>
        <w:t>采购人名称：</w:t>
      </w:r>
      <w:r>
        <w:rPr>
          <w:rFonts w:ascii="宋体" w:hAnsi="宋体" w:cs="仿宋" w:hint="eastAsia"/>
          <w:sz w:val="24"/>
          <w:u w:val="single"/>
        </w:rPr>
        <w:t xml:space="preserve">                                         </w:t>
      </w:r>
    </w:p>
    <w:p>
      <w:pPr>
        <w:adjustRightInd w:val="0"/>
        <w:snapToGrid w:val="0"/>
        <w:spacing w:line="360" w:lineRule="auto"/>
        <w:rPr>
          <w:rFonts w:ascii="宋体" w:hAnsi="宋体" w:cs="仿宋"/>
          <w:sz w:val="24"/>
          <w:u w:val="single"/>
        </w:rPr>
      </w:pPr>
      <w:r>
        <w:rPr>
          <w:rFonts w:ascii="宋体" w:hAnsi="宋体" w:cs="仿宋" w:hint="eastAsia"/>
          <w:sz w:val="24"/>
        </w:rPr>
        <w:t>采购文件获取日期：</w:t>
      </w:r>
      <w:r>
        <w:rPr>
          <w:rFonts w:ascii="宋体" w:hAnsi="宋体" w:cs="仿宋" w:hint="eastAsia"/>
          <w:sz w:val="24"/>
          <w:u w:val="single"/>
        </w:rPr>
        <w:t xml:space="preserve">                                           </w:t>
      </w:r>
    </w:p>
    <w:p>
      <w:pPr>
        <w:adjustRightInd w:val="0"/>
        <w:snapToGrid w:val="0"/>
        <w:spacing w:line="360" w:lineRule="auto"/>
        <w:rPr>
          <w:rFonts w:ascii="宋体" w:hAnsi="宋体" w:cs="仿宋"/>
          <w:b/>
          <w:bCs/>
          <w:sz w:val="24"/>
        </w:rPr>
      </w:pPr>
      <w:r>
        <w:rPr>
          <w:rFonts w:ascii="宋体" w:hAnsi="宋体" w:cs="仿宋" w:hint="eastAsia"/>
          <w:b/>
          <w:bCs/>
          <w:sz w:val="24"/>
        </w:rPr>
        <w:t>三、质疑事项具体内容</w:t>
      </w:r>
    </w:p>
    <w:p>
      <w:pPr>
        <w:adjustRightInd w:val="0"/>
        <w:snapToGrid w:val="0"/>
        <w:spacing w:line="360" w:lineRule="auto"/>
        <w:rPr>
          <w:rFonts w:ascii="宋体" w:hAnsi="宋体" w:cs="仿宋"/>
          <w:sz w:val="24"/>
          <w:u w:val="single"/>
        </w:rPr>
      </w:pPr>
      <w:r>
        <w:rPr>
          <w:rFonts w:ascii="宋体" w:hAnsi="宋体" w:cs="仿宋" w:hint="eastAsia"/>
          <w:sz w:val="24"/>
        </w:rPr>
        <w:t>质疑事项1：</w:t>
      </w:r>
      <w:r>
        <w:rPr>
          <w:rFonts w:ascii="宋体" w:hAnsi="宋体" w:cs="仿宋" w:hint="eastAsia"/>
          <w:sz w:val="24"/>
          <w:u w:val="single"/>
        </w:rPr>
        <w:t xml:space="preserve">                                         </w:t>
      </w:r>
    </w:p>
    <w:p>
      <w:pPr>
        <w:adjustRightInd w:val="0"/>
        <w:snapToGrid w:val="0"/>
        <w:spacing w:line="360" w:lineRule="auto"/>
        <w:rPr>
          <w:rFonts w:ascii="宋体" w:hAnsi="宋体" w:cs="仿宋"/>
          <w:sz w:val="24"/>
          <w:u w:val="single"/>
        </w:rPr>
      </w:pPr>
      <w:r>
        <w:rPr>
          <w:rFonts w:ascii="宋体" w:hAnsi="宋体" w:cs="仿宋" w:hint="eastAsia"/>
          <w:sz w:val="24"/>
        </w:rPr>
        <w:t>事实依据：</w:t>
      </w:r>
      <w:r>
        <w:rPr>
          <w:rFonts w:ascii="宋体" w:hAnsi="宋体" w:cs="仿宋" w:hint="eastAsia"/>
          <w:sz w:val="24"/>
          <w:u w:val="single"/>
        </w:rPr>
        <w:t xml:space="preserve">                                          </w:t>
      </w:r>
    </w:p>
    <w:p>
      <w:pPr>
        <w:adjustRightInd w:val="0"/>
        <w:snapToGrid w:val="0"/>
        <w:spacing w:line="360" w:lineRule="auto"/>
        <w:rPr>
          <w:rFonts w:ascii="宋体" w:hAnsi="宋体" w:cs="仿宋"/>
          <w:sz w:val="24"/>
          <w:u w:val="single"/>
        </w:rPr>
      </w:pPr>
      <w:r>
        <w:rPr>
          <w:rFonts w:ascii="宋体" w:hAnsi="宋体" w:cs="仿宋" w:hint="eastAsia"/>
          <w:sz w:val="24"/>
          <w:u w:val="single"/>
        </w:rPr>
        <w:t xml:space="preserve">                                                       </w:t>
      </w:r>
    </w:p>
    <w:p>
      <w:pPr>
        <w:adjustRightInd w:val="0"/>
        <w:snapToGrid w:val="0"/>
        <w:spacing w:line="360" w:lineRule="auto"/>
        <w:rPr>
          <w:rFonts w:ascii="宋体" w:hAnsi="宋体" w:cs="仿宋"/>
          <w:sz w:val="24"/>
          <w:u w:val="single"/>
        </w:rPr>
      </w:pPr>
      <w:r>
        <w:rPr>
          <w:rFonts w:ascii="宋体" w:hAnsi="宋体" w:cs="仿宋" w:hint="eastAsia"/>
          <w:sz w:val="24"/>
        </w:rPr>
        <w:t>法律依据：</w:t>
      </w:r>
      <w:r>
        <w:rPr>
          <w:rFonts w:ascii="宋体" w:hAnsi="宋体" w:cs="仿宋" w:hint="eastAsia"/>
          <w:sz w:val="24"/>
          <w:u w:val="single"/>
        </w:rPr>
        <w:t xml:space="preserve">                                          </w:t>
      </w:r>
    </w:p>
    <w:p>
      <w:pPr>
        <w:adjustRightInd w:val="0"/>
        <w:snapToGrid w:val="0"/>
        <w:spacing w:line="360" w:lineRule="auto"/>
        <w:rPr>
          <w:rFonts w:ascii="宋体" w:hAnsi="宋体" w:cs="仿宋"/>
          <w:sz w:val="24"/>
          <w:u w:val="single"/>
        </w:rPr>
      </w:pPr>
      <w:r>
        <w:rPr>
          <w:rFonts w:ascii="宋体" w:hAnsi="宋体" w:cs="仿宋" w:hint="eastAsia"/>
          <w:sz w:val="24"/>
          <w:u w:val="single"/>
        </w:rPr>
        <w:t xml:space="preserve">                                                     </w:t>
      </w:r>
    </w:p>
    <w:p>
      <w:pPr>
        <w:adjustRightInd w:val="0"/>
        <w:snapToGrid w:val="0"/>
        <w:spacing w:line="360" w:lineRule="auto"/>
        <w:rPr>
          <w:rFonts w:ascii="宋体" w:hAnsi="宋体" w:cs="仿宋"/>
          <w:sz w:val="24"/>
          <w:u w:val="dotted"/>
        </w:rPr>
      </w:pPr>
      <w:r>
        <w:rPr>
          <w:rFonts w:ascii="宋体" w:hAnsi="宋体" w:cs="仿宋" w:hint="eastAsia"/>
          <w:sz w:val="24"/>
        </w:rPr>
        <w:t>质疑事项2</w:t>
      </w:r>
    </w:p>
    <w:p>
      <w:pPr>
        <w:adjustRightInd w:val="0"/>
        <w:snapToGrid w:val="0"/>
        <w:spacing w:line="360" w:lineRule="auto"/>
        <w:rPr>
          <w:rFonts w:ascii="宋体" w:hAnsi="宋体" w:cs="仿宋"/>
          <w:sz w:val="24"/>
        </w:rPr>
      </w:pPr>
      <w:r>
        <w:rPr>
          <w:rFonts w:ascii="宋体" w:hAnsi="宋体" w:cs="仿宋" w:hint="eastAsia"/>
          <w:sz w:val="24"/>
        </w:rPr>
        <w:t>……</w:t>
      </w:r>
    </w:p>
    <w:p>
      <w:pPr>
        <w:adjustRightInd w:val="0"/>
        <w:snapToGrid w:val="0"/>
        <w:spacing w:line="360" w:lineRule="auto"/>
        <w:rPr>
          <w:rFonts w:ascii="宋体" w:hAnsi="宋体" w:cs="仿宋"/>
          <w:bCs/>
          <w:sz w:val="24"/>
        </w:rPr>
      </w:pPr>
      <w:r>
        <w:rPr>
          <w:rFonts w:ascii="宋体" w:hAnsi="宋体" w:cs="仿宋" w:hint="eastAsia"/>
          <w:bCs/>
          <w:sz w:val="24"/>
        </w:rPr>
        <w:t>四、与质疑事项相关的质疑请求</w:t>
      </w:r>
    </w:p>
    <w:p>
      <w:pPr>
        <w:adjustRightInd w:val="0"/>
        <w:snapToGrid w:val="0"/>
        <w:spacing w:line="360" w:lineRule="auto"/>
        <w:rPr>
          <w:rFonts w:ascii="宋体" w:hAnsi="宋体" w:cs="仿宋"/>
          <w:sz w:val="24"/>
          <w:u w:val="dotted"/>
        </w:rPr>
      </w:pPr>
      <w:r>
        <w:rPr>
          <w:rFonts w:ascii="宋体" w:hAnsi="宋体" w:cs="仿宋" w:hint="eastAsia"/>
          <w:sz w:val="24"/>
        </w:rPr>
        <w:t>请求：</w:t>
      </w:r>
      <w:r>
        <w:rPr>
          <w:rFonts w:ascii="宋体" w:hAnsi="宋体" w:cs="仿宋" w:hint="eastAsia"/>
          <w:sz w:val="24"/>
          <w:u w:val="single"/>
        </w:rPr>
        <w:t xml:space="preserve">                                               </w:t>
      </w:r>
    </w:p>
    <w:p>
      <w:pPr>
        <w:adjustRightInd w:val="0"/>
        <w:snapToGrid w:val="0"/>
        <w:spacing w:line="360" w:lineRule="auto"/>
        <w:rPr>
          <w:rFonts w:ascii="宋体" w:hAnsi="宋体"/>
          <w:sz w:val="24"/>
        </w:rPr>
      </w:pPr>
    </w:p>
    <w:p>
      <w:pPr>
        <w:widowControl/>
        <w:tabs>
          <w:tab w:val="left" w:pos="6300"/>
        </w:tabs>
        <w:snapToGrid w:val="0"/>
        <w:spacing w:line="360" w:lineRule="auto"/>
        <w:jc w:val="left"/>
        <w:rPr>
          <w:rFonts w:ascii="宋体" w:hAnsi="宋体"/>
          <w:sz w:val="24"/>
        </w:rPr>
      </w:pPr>
      <w:r>
        <w:rPr>
          <w:rFonts w:ascii="宋体" w:hAnsi="宋体" w:hint="eastAsia"/>
          <w:sz w:val="24"/>
        </w:rPr>
        <w:t>供应商（盖章）：</w:t>
      </w:r>
    </w:p>
    <w:p>
      <w:pPr>
        <w:widowControl/>
        <w:tabs>
          <w:tab w:val="left" w:pos="6300"/>
        </w:tabs>
        <w:snapToGrid w:val="0"/>
        <w:spacing w:line="360" w:lineRule="auto"/>
        <w:jc w:val="left"/>
        <w:rPr>
          <w:rFonts w:ascii="宋体" w:hAnsi="宋体"/>
          <w:sz w:val="24"/>
        </w:rPr>
      </w:pPr>
      <w:r>
        <w:rPr>
          <w:rFonts w:ascii="宋体" w:hAnsi="宋体" w:hint="eastAsia"/>
          <w:sz w:val="24"/>
        </w:rPr>
        <w:t>法定代表人（授权代表）：</w:t>
      </w:r>
    </w:p>
    <w:p>
      <w:pPr>
        <w:tabs>
          <w:tab w:val="left" w:pos="6300"/>
        </w:tabs>
        <w:snapToGrid w:val="0"/>
        <w:spacing w:line="360" w:lineRule="auto"/>
        <w:jc w:val="left"/>
        <w:rPr>
          <w:rFonts w:ascii="宋体" w:hAnsi="宋体"/>
          <w:sz w:val="24"/>
        </w:rPr>
      </w:pPr>
      <w:r>
        <w:rPr>
          <w:rFonts w:ascii="宋体" w:hAnsi="宋体" w:hint="eastAsia"/>
          <w:sz w:val="24"/>
        </w:rPr>
        <w:t>地址/邮编：</w:t>
      </w:r>
    </w:p>
    <w:p>
      <w:pPr>
        <w:tabs>
          <w:tab w:val="left" w:pos="6300"/>
        </w:tabs>
        <w:snapToGrid w:val="0"/>
        <w:spacing w:line="360" w:lineRule="auto"/>
        <w:jc w:val="left"/>
        <w:rPr>
          <w:rFonts w:ascii="宋体" w:hAnsi="宋体"/>
          <w:sz w:val="24"/>
        </w:rPr>
      </w:pPr>
      <w:r>
        <w:rPr>
          <w:rFonts w:ascii="宋体" w:hAnsi="宋体" w:hint="eastAsia"/>
          <w:sz w:val="24"/>
        </w:rPr>
        <w:t>电话/传真：</w:t>
      </w:r>
    </w:p>
    <w:p>
      <w:pPr>
        <w:tabs>
          <w:tab w:val="left" w:pos="6300"/>
        </w:tabs>
        <w:snapToGrid w:val="0"/>
        <w:spacing w:line="360" w:lineRule="auto"/>
        <w:jc w:val="left"/>
        <w:rPr>
          <w:rFonts w:ascii="宋体" w:hAnsi="宋体"/>
          <w:sz w:val="24"/>
        </w:rPr>
      </w:pPr>
      <w:r>
        <w:rPr>
          <w:rFonts w:ascii="宋体" w:hAnsi="宋体" w:hint="eastAsia"/>
          <w:sz w:val="24"/>
        </w:rPr>
        <w:t>电子邮箱：</w:t>
      </w:r>
    </w:p>
    <w:p>
      <w:pPr>
        <w:spacing w:line="360" w:lineRule="auto"/>
        <w:jc w:val="left"/>
        <w:rPr>
          <w:rFonts w:ascii="宋体" w:hAnsi="宋体"/>
          <w:sz w:val="24"/>
        </w:rPr>
      </w:pPr>
      <w:r>
        <w:rPr>
          <w:rFonts w:ascii="宋体" w:hAnsi="宋体" w:hint="eastAsia"/>
          <w:sz w:val="24"/>
        </w:rPr>
        <w:t>日期：  年   月  日</w:t>
      </w:r>
    </w:p>
    <w:p>
      <w:pPr>
        <w:adjustRightInd w:val="0"/>
        <w:snapToGrid w:val="0"/>
        <w:spacing w:line="360" w:lineRule="auto"/>
        <w:rPr>
          <w:rFonts w:ascii="宋体" w:hAnsi="宋体" w:cs="仿宋"/>
          <w:b/>
          <w:sz w:val="24"/>
        </w:rPr>
      </w:pPr>
      <w:r>
        <w:rPr>
          <w:rFonts w:ascii="宋体" w:hAnsi="宋体" w:hint="eastAsia"/>
          <w:b/>
          <w:sz w:val="24"/>
        </w:rPr>
        <w:t>随附相关证明材料如下</w:t>
      </w:r>
      <w:r>
        <w:rPr>
          <w:rFonts w:ascii="宋体" w:hAnsi="宋体" w:cs="仿宋" w:hint="eastAsia"/>
          <w:b/>
          <w:sz w:val="24"/>
        </w:rPr>
        <w:t>：</w:t>
      </w:r>
    </w:p>
    <w:tbl>
      <w:tblPr>
        <w:tblStyle w:val="TableNormal"/>
        <w:tblW w:w="9002" w:type="dxa"/>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0" w:type="dxa"/>
          <w:left w:w="0" w:type="dxa"/>
          <w:bottom w:w="0" w:type="dxa"/>
          <w:right w:w="0" w:type="dxa"/>
        </w:tblCellMar>
      </w:tblPr>
      <w:tblGrid>
        <w:gridCol w:w="1747"/>
        <w:gridCol w:w="2761"/>
        <w:gridCol w:w="2247"/>
        <w:gridCol w:w="2247"/>
      </w:tblGrid>
      <w:tr>
        <w:tblPrEx>
          <w:tblW w:w="9002" w:type="dxa"/>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0" w:type="dxa"/>
            <w:left w:w="0" w:type="dxa"/>
            <w:bottom w:w="0" w:type="dxa"/>
            <w:right w:w="0" w:type="dxa"/>
          </w:tblCellMar>
        </w:tblPrEx>
        <w:trPr>
          <w:trHeight w:val="327"/>
        </w:trPr>
        <w:tc>
          <w:tcPr>
            <w:tcW w:w="1747" w:type="dxa"/>
            <w:shd w:val="clear" w:color="auto" w:fill="auto"/>
            <w:tcMar>
              <w:top w:w="72" w:type="dxa"/>
              <w:left w:w="144" w:type="dxa"/>
              <w:bottom w:w="72" w:type="dxa"/>
              <w:right w:w="144" w:type="dxa"/>
            </w:tcMar>
            <w:vAlign w:val="center"/>
          </w:tcPr>
          <w:p>
            <w:pPr>
              <w:adjustRightInd w:val="0"/>
              <w:snapToGrid w:val="0"/>
              <w:spacing w:line="360" w:lineRule="auto"/>
              <w:jc w:val="center"/>
              <w:rPr>
                <w:rFonts w:ascii="宋体" w:hAnsi="宋体" w:cs="仿宋"/>
                <w:b/>
                <w:sz w:val="24"/>
              </w:rPr>
            </w:pPr>
            <w:r>
              <w:rPr>
                <w:rFonts w:ascii="宋体" w:hAnsi="宋体" w:cs="仿宋" w:hint="eastAsia"/>
                <w:b/>
                <w:sz w:val="24"/>
              </w:rPr>
              <w:t>序号</w:t>
            </w:r>
          </w:p>
        </w:tc>
        <w:tc>
          <w:tcPr>
            <w:tcW w:w="2761" w:type="dxa"/>
            <w:shd w:val="clear" w:color="auto" w:fill="auto"/>
            <w:tcMar>
              <w:top w:w="72" w:type="dxa"/>
              <w:left w:w="144" w:type="dxa"/>
              <w:bottom w:w="72" w:type="dxa"/>
              <w:right w:w="144" w:type="dxa"/>
            </w:tcMar>
            <w:vAlign w:val="center"/>
          </w:tcPr>
          <w:p>
            <w:pPr>
              <w:adjustRightInd w:val="0"/>
              <w:snapToGrid w:val="0"/>
              <w:spacing w:line="360" w:lineRule="auto"/>
              <w:jc w:val="center"/>
              <w:rPr>
                <w:rFonts w:ascii="宋体" w:hAnsi="宋体" w:cs="仿宋"/>
                <w:b/>
                <w:sz w:val="24"/>
              </w:rPr>
            </w:pPr>
            <w:r>
              <w:rPr>
                <w:rFonts w:hAnsi="宋体" w:hint="eastAsia"/>
                <w:b/>
                <w:sz w:val="24"/>
              </w:rPr>
              <w:t>证明材料</w:t>
            </w:r>
            <w:r>
              <w:rPr>
                <w:rFonts w:ascii="宋体" w:hAnsi="宋体" w:cs="仿宋" w:hint="eastAsia"/>
                <w:b/>
                <w:sz w:val="24"/>
              </w:rPr>
              <w:t>名称</w:t>
            </w:r>
          </w:p>
        </w:tc>
        <w:tc>
          <w:tcPr>
            <w:tcW w:w="2247" w:type="dxa"/>
            <w:shd w:val="clear" w:color="auto" w:fill="auto"/>
            <w:tcMar>
              <w:top w:w="72" w:type="dxa"/>
              <w:left w:w="144" w:type="dxa"/>
              <w:bottom w:w="72" w:type="dxa"/>
              <w:right w:w="144" w:type="dxa"/>
            </w:tcMar>
            <w:vAlign w:val="center"/>
          </w:tcPr>
          <w:p>
            <w:pPr>
              <w:adjustRightInd w:val="0"/>
              <w:snapToGrid w:val="0"/>
              <w:spacing w:line="360" w:lineRule="auto"/>
              <w:jc w:val="center"/>
              <w:rPr>
                <w:rFonts w:ascii="宋体" w:hAnsi="宋体" w:cs="仿宋"/>
                <w:b/>
                <w:sz w:val="24"/>
              </w:rPr>
            </w:pPr>
            <w:r>
              <w:rPr>
                <w:rFonts w:hAnsi="宋体" w:hint="eastAsia"/>
                <w:b/>
                <w:sz w:val="24"/>
              </w:rPr>
              <w:t>证明材料</w:t>
            </w:r>
            <w:r>
              <w:rPr>
                <w:rFonts w:ascii="宋体" w:hAnsi="宋体" w:cs="仿宋" w:hint="eastAsia"/>
                <w:b/>
                <w:sz w:val="24"/>
              </w:rPr>
              <w:t>来源</w:t>
            </w:r>
          </w:p>
        </w:tc>
        <w:tc>
          <w:tcPr>
            <w:tcW w:w="2247" w:type="dxa"/>
            <w:shd w:val="clear" w:color="auto" w:fill="auto"/>
            <w:tcMar>
              <w:top w:w="72" w:type="dxa"/>
              <w:left w:w="144" w:type="dxa"/>
              <w:bottom w:w="72" w:type="dxa"/>
              <w:right w:w="144" w:type="dxa"/>
            </w:tcMar>
            <w:vAlign w:val="center"/>
          </w:tcPr>
          <w:p>
            <w:pPr>
              <w:adjustRightInd w:val="0"/>
              <w:snapToGrid w:val="0"/>
              <w:spacing w:line="360" w:lineRule="auto"/>
              <w:jc w:val="center"/>
              <w:rPr>
                <w:rFonts w:ascii="宋体" w:hAnsi="宋体" w:cs="仿宋"/>
                <w:b/>
                <w:sz w:val="24"/>
              </w:rPr>
            </w:pPr>
            <w:r>
              <w:rPr>
                <w:rFonts w:ascii="宋体" w:hAnsi="宋体" w:cs="仿宋" w:hint="eastAsia"/>
                <w:b/>
                <w:sz w:val="24"/>
              </w:rPr>
              <w:t>证明对象</w:t>
            </w:r>
          </w:p>
        </w:tc>
      </w:tr>
      <w:tr>
        <w:tblPrEx>
          <w:tblW w:w="9002" w:type="dxa"/>
          <w:tblInd w:w="0" w:type="dxa"/>
          <w:tblLayout w:type="fixed"/>
          <w:tblCellMar>
            <w:top w:w="0" w:type="dxa"/>
            <w:left w:w="0" w:type="dxa"/>
            <w:bottom w:w="0" w:type="dxa"/>
            <w:right w:w="0" w:type="dxa"/>
          </w:tblCellMar>
        </w:tblPrEx>
        <w:trPr>
          <w:trHeight w:val="327"/>
        </w:trPr>
        <w:tc>
          <w:tcPr>
            <w:tcW w:w="1747" w:type="dxa"/>
            <w:shd w:val="clear" w:color="auto" w:fill="auto"/>
            <w:tcMar>
              <w:top w:w="72" w:type="dxa"/>
              <w:left w:w="144" w:type="dxa"/>
              <w:bottom w:w="72" w:type="dxa"/>
              <w:right w:w="144" w:type="dxa"/>
            </w:tcMar>
          </w:tcPr>
          <w:p>
            <w:pPr>
              <w:adjustRightInd w:val="0"/>
              <w:snapToGrid w:val="0"/>
              <w:spacing w:line="360" w:lineRule="auto"/>
              <w:jc w:val="center"/>
              <w:rPr>
                <w:rFonts w:ascii="宋体" w:hAnsi="宋体" w:cs="仿宋"/>
                <w:sz w:val="24"/>
              </w:rPr>
            </w:pPr>
            <w:r>
              <w:rPr>
                <w:rFonts w:ascii="宋体" w:hAnsi="宋体" w:cs="仿宋"/>
                <w:sz w:val="24"/>
              </w:rPr>
              <w:t>1</w:t>
            </w:r>
          </w:p>
        </w:tc>
        <w:tc>
          <w:tcPr>
            <w:tcW w:w="2761" w:type="dxa"/>
            <w:shd w:val="clear" w:color="auto" w:fill="auto"/>
            <w:tcMar>
              <w:top w:w="72" w:type="dxa"/>
              <w:left w:w="144" w:type="dxa"/>
              <w:bottom w:w="72" w:type="dxa"/>
              <w:right w:w="144" w:type="dxa"/>
            </w:tcMar>
          </w:tcPr>
          <w:p>
            <w:pPr>
              <w:adjustRightInd w:val="0"/>
              <w:snapToGrid w:val="0"/>
              <w:spacing w:line="360" w:lineRule="auto"/>
              <w:rPr>
                <w:rFonts w:ascii="宋体" w:hAnsi="宋体" w:cs="仿宋"/>
                <w:sz w:val="24"/>
              </w:rPr>
            </w:pPr>
          </w:p>
        </w:tc>
        <w:tc>
          <w:tcPr>
            <w:tcW w:w="2247" w:type="dxa"/>
            <w:shd w:val="clear" w:color="auto" w:fill="auto"/>
            <w:tcMar>
              <w:top w:w="72" w:type="dxa"/>
              <w:left w:w="144" w:type="dxa"/>
              <w:bottom w:w="72" w:type="dxa"/>
              <w:right w:w="144" w:type="dxa"/>
            </w:tcMar>
          </w:tcPr>
          <w:p>
            <w:pPr>
              <w:adjustRightInd w:val="0"/>
              <w:snapToGrid w:val="0"/>
              <w:spacing w:line="360" w:lineRule="auto"/>
              <w:rPr>
                <w:rFonts w:ascii="宋体" w:hAnsi="宋体" w:cs="仿宋"/>
                <w:sz w:val="24"/>
              </w:rPr>
            </w:pPr>
          </w:p>
        </w:tc>
        <w:tc>
          <w:tcPr>
            <w:tcW w:w="2247" w:type="dxa"/>
            <w:shd w:val="clear" w:color="auto" w:fill="auto"/>
            <w:tcMar>
              <w:top w:w="72" w:type="dxa"/>
              <w:left w:w="144" w:type="dxa"/>
              <w:bottom w:w="72" w:type="dxa"/>
              <w:right w:w="144" w:type="dxa"/>
            </w:tcMar>
          </w:tcPr>
          <w:p>
            <w:pPr>
              <w:adjustRightInd w:val="0"/>
              <w:snapToGrid w:val="0"/>
              <w:spacing w:line="360" w:lineRule="auto"/>
              <w:rPr>
                <w:rFonts w:ascii="宋体" w:hAnsi="宋体" w:cs="仿宋"/>
                <w:sz w:val="24"/>
              </w:rPr>
            </w:pPr>
          </w:p>
        </w:tc>
      </w:tr>
      <w:tr>
        <w:tblPrEx>
          <w:tblW w:w="9002" w:type="dxa"/>
          <w:tblInd w:w="0" w:type="dxa"/>
          <w:tblLayout w:type="fixed"/>
          <w:tblCellMar>
            <w:top w:w="0" w:type="dxa"/>
            <w:left w:w="0" w:type="dxa"/>
            <w:bottom w:w="0" w:type="dxa"/>
            <w:right w:w="0" w:type="dxa"/>
          </w:tblCellMar>
        </w:tblPrEx>
        <w:trPr>
          <w:trHeight w:val="327"/>
        </w:trPr>
        <w:tc>
          <w:tcPr>
            <w:tcW w:w="1747" w:type="dxa"/>
            <w:shd w:val="clear" w:color="auto" w:fill="auto"/>
            <w:tcMar>
              <w:top w:w="72" w:type="dxa"/>
              <w:left w:w="144" w:type="dxa"/>
              <w:bottom w:w="72" w:type="dxa"/>
              <w:right w:w="144" w:type="dxa"/>
            </w:tcMar>
          </w:tcPr>
          <w:p>
            <w:pPr>
              <w:adjustRightInd w:val="0"/>
              <w:snapToGrid w:val="0"/>
              <w:spacing w:line="360" w:lineRule="auto"/>
              <w:jc w:val="center"/>
              <w:rPr>
                <w:rFonts w:ascii="宋体" w:hAnsi="宋体" w:cs="仿宋"/>
                <w:sz w:val="24"/>
              </w:rPr>
            </w:pPr>
            <w:r>
              <w:rPr>
                <w:rFonts w:ascii="宋体" w:hAnsi="宋体" w:cs="仿宋"/>
                <w:sz w:val="24"/>
              </w:rPr>
              <w:t>2</w:t>
            </w:r>
          </w:p>
        </w:tc>
        <w:tc>
          <w:tcPr>
            <w:tcW w:w="2761" w:type="dxa"/>
            <w:shd w:val="clear" w:color="auto" w:fill="auto"/>
            <w:tcMar>
              <w:top w:w="72" w:type="dxa"/>
              <w:left w:w="144" w:type="dxa"/>
              <w:bottom w:w="72" w:type="dxa"/>
              <w:right w:w="144" w:type="dxa"/>
            </w:tcMar>
          </w:tcPr>
          <w:p>
            <w:pPr>
              <w:adjustRightInd w:val="0"/>
              <w:snapToGrid w:val="0"/>
              <w:spacing w:line="360" w:lineRule="auto"/>
              <w:rPr>
                <w:rFonts w:ascii="宋体" w:hAnsi="宋体" w:cs="仿宋"/>
                <w:sz w:val="24"/>
              </w:rPr>
            </w:pPr>
          </w:p>
        </w:tc>
        <w:tc>
          <w:tcPr>
            <w:tcW w:w="2247" w:type="dxa"/>
            <w:shd w:val="clear" w:color="auto" w:fill="auto"/>
            <w:tcMar>
              <w:top w:w="72" w:type="dxa"/>
              <w:left w:w="144" w:type="dxa"/>
              <w:bottom w:w="72" w:type="dxa"/>
              <w:right w:w="144" w:type="dxa"/>
            </w:tcMar>
          </w:tcPr>
          <w:p>
            <w:pPr>
              <w:adjustRightInd w:val="0"/>
              <w:snapToGrid w:val="0"/>
              <w:spacing w:line="360" w:lineRule="auto"/>
              <w:rPr>
                <w:rFonts w:ascii="宋体" w:hAnsi="宋体" w:cs="仿宋"/>
                <w:sz w:val="24"/>
              </w:rPr>
            </w:pPr>
          </w:p>
        </w:tc>
        <w:tc>
          <w:tcPr>
            <w:tcW w:w="2247" w:type="dxa"/>
            <w:shd w:val="clear" w:color="auto" w:fill="auto"/>
            <w:tcMar>
              <w:top w:w="72" w:type="dxa"/>
              <w:left w:w="144" w:type="dxa"/>
              <w:bottom w:w="72" w:type="dxa"/>
              <w:right w:w="144" w:type="dxa"/>
            </w:tcMar>
          </w:tcPr>
          <w:p>
            <w:pPr>
              <w:adjustRightInd w:val="0"/>
              <w:snapToGrid w:val="0"/>
              <w:spacing w:line="360" w:lineRule="auto"/>
              <w:rPr>
                <w:rFonts w:ascii="宋体" w:hAnsi="宋体" w:cs="仿宋"/>
                <w:sz w:val="24"/>
              </w:rPr>
            </w:pPr>
          </w:p>
        </w:tc>
      </w:tr>
      <w:tr>
        <w:tblPrEx>
          <w:tblW w:w="9002" w:type="dxa"/>
          <w:tblInd w:w="0" w:type="dxa"/>
          <w:tblLayout w:type="fixed"/>
          <w:tblCellMar>
            <w:top w:w="0" w:type="dxa"/>
            <w:left w:w="0" w:type="dxa"/>
            <w:bottom w:w="0" w:type="dxa"/>
            <w:right w:w="0" w:type="dxa"/>
          </w:tblCellMar>
        </w:tblPrEx>
        <w:trPr>
          <w:trHeight w:val="327"/>
        </w:trPr>
        <w:tc>
          <w:tcPr>
            <w:tcW w:w="1747" w:type="dxa"/>
            <w:shd w:val="clear" w:color="auto" w:fill="auto"/>
            <w:tcMar>
              <w:top w:w="72" w:type="dxa"/>
              <w:left w:w="144" w:type="dxa"/>
              <w:bottom w:w="72" w:type="dxa"/>
              <w:right w:w="144" w:type="dxa"/>
            </w:tcMar>
          </w:tcPr>
          <w:p>
            <w:pPr>
              <w:adjustRightInd w:val="0"/>
              <w:snapToGrid w:val="0"/>
              <w:spacing w:line="360" w:lineRule="auto"/>
              <w:jc w:val="center"/>
              <w:rPr>
                <w:rFonts w:ascii="宋体" w:hAnsi="宋体" w:cs="仿宋"/>
                <w:sz w:val="24"/>
              </w:rPr>
            </w:pPr>
            <w:r>
              <w:rPr>
                <w:rFonts w:ascii="宋体" w:hAnsi="宋体" w:cs="仿宋" w:hint="eastAsia"/>
                <w:sz w:val="24"/>
              </w:rPr>
              <w:t>……</w:t>
            </w:r>
          </w:p>
        </w:tc>
        <w:tc>
          <w:tcPr>
            <w:tcW w:w="2761" w:type="dxa"/>
            <w:shd w:val="clear" w:color="auto" w:fill="auto"/>
            <w:tcMar>
              <w:top w:w="72" w:type="dxa"/>
              <w:left w:w="144" w:type="dxa"/>
              <w:bottom w:w="72" w:type="dxa"/>
              <w:right w:w="144" w:type="dxa"/>
            </w:tcMar>
          </w:tcPr>
          <w:p>
            <w:pPr>
              <w:adjustRightInd w:val="0"/>
              <w:snapToGrid w:val="0"/>
              <w:spacing w:line="360" w:lineRule="auto"/>
              <w:rPr>
                <w:rFonts w:ascii="宋体" w:hAnsi="宋体" w:cs="仿宋"/>
                <w:sz w:val="24"/>
              </w:rPr>
            </w:pPr>
          </w:p>
        </w:tc>
        <w:tc>
          <w:tcPr>
            <w:tcW w:w="2247" w:type="dxa"/>
            <w:shd w:val="clear" w:color="auto" w:fill="auto"/>
            <w:tcMar>
              <w:top w:w="72" w:type="dxa"/>
              <w:left w:w="144" w:type="dxa"/>
              <w:bottom w:w="72" w:type="dxa"/>
              <w:right w:w="144" w:type="dxa"/>
            </w:tcMar>
          </w:tcPr>
          <w:p>
            <w:pPr>
              <w:adjustRightInd w:val="0"/>
              <w:snapToGrid w:val="0"/>
              <w:spacing w:line="360" w:lineRule="auto"/>
              <w:rPr>
                <w:rFonts w:ascii="宋体" w:hAnsi="宋体" w:cs="仿宋"/>
                <w:sz w:val="24"/>
              </w:rPr>
            </w:pPr>
          </w:p>
        </w:tc>
        <w:tc>
          <w:tcPr>
            <w:tcW w:w="2247" w:type="dxa"/>
            <w:shd w:val="clear" w:color="auto" w:fill="auto"/>
            <w:tcMar>
              <w:top w:w="72" w:type="dxa"/>
              <w:left w:w="144" w:type="dxa"/>
              <w:bottom w:w="72" w:type="dxa"/>
              <w:right w:w="144" w:type="dxa"/>
            </w:tcMar>
          </w:tcPr>
          <w:p>
            <w:pPr>
              <w:adjustRightInd w:val="0"/>
              <w:snapToGrid w:val="0"/>
              <w:spacing w:line="360" w:lineRule="auto"/>
              <w:rPr>
                <w:rFonts w:ascii="宋体" w:hAnsi="宋体" w:cs="仿宋"/>
                <w:sz w:val="24"/>
              </w:rPr>
            </w:pPr>
          </w:p>
        </w:tc>
      </w:tr>
    </w:tbl>
    <w:p>
      <w:pPr>
        <w:pStyle w:val="ListParagraph"/>
        <w:widowControl/>
        <w:numPr>
          <w:ilvl w:val="0"/>
          <w:numId w:val="61"/>
        </w:numPr>
        <w:spacing w:line="360" w:lineRule="auto"/>
        <w:ind w:firstLineChars="0"/>
        <w:jc w:val="left"/>
        <w:rPr>
          <w:rFonts w:ascii="宋体" w:hAnsi="宋体"/>
          <w:b/>
          <w:sz w:val="24"/>
        </w:rPr>
      </w:pPr>
      <w:r>
        <w:rPr>
          <w:rFonts w:ascii="宋体" w:hAnsi="宋体" w:hint="eastAsia"/>
          <w:b/>
          <w:sz w:val="24"/>
        </w:rPr>
        <w:t>相关说明</w:t>
      </w:r>
    </w:p>
    <w:p>
      <w:pPr>
        <w:pStyle w:val="ListParagraph"/>
        <w:widowControl/>
        <w:numPr>
          <w:ilvl w:val="0"/>
          <w:numId w:val="62"/>
        </w:numPr>
        <w:spacing w:line="360" w:lineRule="auto"/>
        <w:ind w:firstLineChars="0"/>
        <w:jc w:val="left"/>
        <w:rPr>
          <w:rFonts w:ascii="宋体" w:hAnsi="宋体"/>
          <w:sz w:val="24"/>
        </w:rPr>
      </w:pPr>
      <w:r>
        <w:rPr>
          <w:rFonts w:ascii="宋体" w:hAnsi="宋体" w:hint="eastAsia"/>
          <w:sz w:val="24"/>
        </w:rPr>
        <w:t>供应商提出质疑时，应提交质疑函和必要的证明材料。</w:t>
      </w:r>
    </w:p>
    <w:p>
      <w:pPr>
        <w:pStyle w:val="ListParagraph"/>
        <w:widowControl/>
        <w:numPr>
          <w:ilvl w:val="0"/>
          <w:numId w:val="62"/>
        </w:numPr>
        <w:spacing w:line="360" w:lineRule="auto"/>
        <w:ind w:firstLineChars="0"/>
        <w:jc w:val="left"/>
        <w:rPr>
          <w:rFonts w:ascii="宋体" w:hAnsi="宋体"/>
          <w:sz w:val="24"/>
        </w:rPr>
      </w:pPr>
      <w:r>
        <w:rPr>
          <w:rFonts w:ascii="宋体" w:hAnsi="宋体" w:hint="eastAsia"/>
          <w:sz w:val="24"/>
        </w:rPr>
        <w:t>质疑供应商若委托代理人进行质疑的，质疑函应按要求列明“授权代表”的有关内容，并在附件中提交由质疑</w:t>
      </w:r>
      <w:r>
        <w:rPr>
          <w:rFonts w:ascii="宋体" w:hAnsi="宋体" w:cs="宋体" w:hint="eastAsia"/>
          <w:kern w:val="0"/>
          <w:sz w:val="24"/>
        </w:rPr>
        <w:t>供应商签署的授权委托书。授权委托书应载明代理人的姓名或者名称、代理事项、具体权限、期限和相关事项。</w:t>
      </w:r>
    </w:p>
    <w:p>
      <w:pPr>
        <w:pStyle w:val="ListParagraph"/>
        <w:widowControl/>
        <w:numPr>
          <w:ilvl w:val="0"/>
          <w:numId w:val="62"/>
        </w:numPr>
        <w:spacing w:line="360" w:lineRule="auto"/>
        <w:ind w:firstLineChars="0"/>
        <w:jc w:val="left"/>
        <w:rPr>
          <w:rFonts w:ascii="宋体" w:hAnsi="宋体"/>
          <w:sz w:val="24"/>
        </w:rPr>
      </w:pPr>
      <w:r>
        <w:rPr>
          <w:rFonts w:ascii="宋体" w:hAnsi="宋体" w:hint="eastAsia"/>
          <w:sz w:val="24"/>
        </w:rPr>
        <w:t>质疑供应商若对项目的某一分包进行质疑，质疑函中</w:t>
      </w:r>
      <w:r>
        <w:rPr>
          <w:rFonts w:ascii="宋体" w:hAnsi="宋体" w:hint="eastAsia"/>
          <w:b/>
          <w:sz w:val="24"/>
          <w:u w:val="single"/>
        </w:rPr>
        <w:t>应列明具体分包号</w:t>
      </w:r>
      <w:r>
        <w:rPr>
          <w:rFonts w:ascii="宋体" w:hAnsi="宋体" w:hint="eastAsia"/>
          <w:sz w:val="24"/>
        </w:rPr>
        <w:t>。</w:t>
      </w:r>
    </w:p>
    <w:p>
      <w:pPr>
        <w:pStyle w:val="ListParagraph"/>
        <w:widowControl/>
        <w:numPr>
          <w:ilvl w:val="0"/>
          <w:numId w:val="62"/>
        </w:numPr>
        <w:spacing w:line="360" w:lineRule="auto"/>
        <w:ind w:firstLineChars="0"/>
        <w:jc w:val="left"/>
        <w:rPr>
          <w:rFonts w:ascii="宋体" w:hAnsi="宋体"/>
          <w:sz w:val="24"/>
        </w:rPr>
      </w:pPr>
      <w:r>
        <w:rPr>
          <w:rFonts w:ascii="宋体" w:hAnsi="宋体" w:hint="eastAsia"/>
          <w:sz w:val="24"/>
        </w:rPr>
        <w:t>质疑函的质疑事项应具体、明确，并有必要的事实依据和法律依据。</w:t>
      </w:r>
    </w:p>
    <w:p>
      <w:pPr>
        <w:pStyle w:val="ListParagraph"/>
        <w:widowControl/>
        <w:numPr>
          <w:ilvl w:val="0"/>
          <w:numId w:val="62"/>
        </w:numPr>
        <w:spacing w:line="360" w:lineRule="auto"/>
        <w:ind w:firstLineChars="0"/>
        <w:jc w:val="left"/>
        <w:rPr>
          <w:rFonts w:ascii="宋体" w:hAnsi="宋体"/>
          <w:sz w:val="24"/>
        </w:rPr>
      </w:pPr>
      <w:r>
        <w:rPr>
          <w:rFonts w:ascii="宋体" w:hAnsi="宋体" w:hint="eastAsia"/>
          <w:sz w:val="24"/>
        </w:rPr>
        <w:t>质疑函的质疑请求应与质疑事项相关。</w:t>
      </w:r>
    </w:p>
    <w:p>
      <w:pPr>
        <w:pStyle w:val="ListParagraph"/>
        <w:numPr>
          <w:ilvl w:val="0"/>
          <w:numId w:val="62"/>
        </w:numPr>
        <w:spacing w:line="360" w:lineRule="auto"/>
        <w:ind w:firstLineChars="0"/>
        <w:rPr>
          <w:rFonts w:ascii="宋体" w:hAnsi="宋体"/>
          <w:sz w:val="24"/>
        </w:rPr>
      </w:pPr>
      <w:r>
        <w:rPr>
          <w:rFonts w:ascii="宋体" w:hAnsi="宋体" w:hint="eastAsia"/>
          <w:sz w:val="24"/>
        </w:rPr>
        <w:t>质疑供应商为自然人的，质疑函应由本人签字；质疑供应商为法人或者其他组织的，质疑函应由法定代表人、主要负责人，或者其授权代表签字或者盖个人名章，并加盖公章。</w:t>
      </w:r>
    </w:p>
    <w:p>
      <w:pPr>
        <w:pStyle w:val="ListParagraph"/>
        <w:numPr>
          <w:ilvl w:val="0"/>
          <w:numId w:val="62"/>
        </w:numPr>
        <w:spacing w:line="360" w:lineRule="auto"/>
        <w:ind w:firstLineChars="0"/>
        <w:rPr>
          <w:rFonts w:ascii="宋体" w:hAnsi="宋体"/>
          <w:sz w:val="24"/>
        </w:rPr>
      </w:pPr>
      <w:r>
        <w:rPr>
          <w:rFonts w:ascii="宋体" w:hAnsi="宋体" w:hint="eastAsia"/>
          <w:sz w:val="24"/>
        </w:rPr>
        <w:t>供应商应在提交的证明材料中对质疑点的内容</w:t>
      </w:r>
      <w:r>
        <w:rPr>
          <w:rFonts w:ascii="宋体" w:hAnsi="宋体" w:hint="eastAsia"/>
          <w:b/>
          <w:sz w:val="24"/>
          <w:u w:val="single"/>
        </w:rPr>
        <w:t>作出相应的标识或以醒目的方式标明</w:t>
      </w:r>
      <w:r>
        <w:rPr>
          <w:rFonts w:ascii="宋体" w:hAnsi="宋体" w:hint="eastAsia"/>
          <w:sz w:val="24"/>
        </w:rPr>
        <w:t>。</w:t>
      </w:r>
    </w:p>
    <w:p>
      <w:pPr>
        <w:widowControl/>
        <w:jc w:val="left"/>
        <w:rPr>
          <w:b/>
          <w:bCs/>
          <w:sz w:val="28"/>
          <w:szCs w:val="28"/>
        </w:rPr>
      </w:pPr>
      <w:r>
        <w:rPr>
          <w:b/>
          <w:bCs/>
          <w:sz w:val="28"/>
          <w:szCs w:val="28"/>
        </w:rPr>
        <w:br w:type="page"/>
      </w:r>
    </w:p>
    <w:p>
      <w:pPr>
        <w:spacing w:before="156" w:beforeLines="50" w:after="156" w:afterLines="50" w:line="360" w:lineRule="auto"/>
        <w:jc w:val="center"/>
        <w:outlineLvl w:val="0"/>
        <w:rPr>
          <w:b/>
          <w:bCs/>
          <w:color w:val="0000FF"/>
          <w:sz w:val="28"/>
          <w:szCs w:val="28"/>
        </w:rPr>
      </w:pPr>
      <w:bookmarkEnd w:id="66"/>
      <w:bookmarkEnd w:id="67"/>
      <w:bookmarkEnd w:id="68"/>
      <w:bookmarkEnd w:id="75"/>
      <w:bookmarkStart w:id="117" w:name="_Toc13067023"/>
      <w:bookmarkStart w:id="118" w:name="_Toc962"/>
      <w:bookmarkStart w:id="119" w:name="_Toc256000020"/>
      <w:r>
        <w:rPr>
          <w:rFonts w:hint="eastAsia"/>
          <w:b/>
          <w:bCs/>
          <w:sz w:val="28"/>
          <w:szCs w:val="28"/>
        </w:rPr>
        <w:t>第五章 合同格式条款（仅供参考）</w:t>
      </w:r>
      <w:bookmarkEnd w:id="119"/>
      <w:bookmarkEnd w:id="117"/>
      <w:bookmarkEnd w:id="118"/>
    </w:p>
    <w:p>
      <w:pPr>
        <w:tabs>
          <w:tab w:val="left" w:pos="720"/>
        </w:tabs>
        <w:spacing w:line="360" w:lineRule="auto"/>
        <w:jc w:val="center"/>
        <w:rPr>
          <w:rFonts w:ascii="宋体" w:hAnsi="宋体" w:cs="宋体"/>
          <w:b/>
          <w:sz w:val="24"/>
          <w:szCs w:val="21"/>
        </w:rPr>
      </w:pPr>
      <w:r>
        <w:rPr>
          <w:rFonts w:ascii="宋体" w:hAnsi="宋体" w:cs="宋体" w:hint="eastAsia"/>
          <w:b/>
          <w:sz w:val="24"/>
          <w:szCs w:val="21"/>
        </w:rPr>
        <w:t>合同通用条款</w:t>
      </w:r>
    </w:p>
    <w:p>
      <w:pPr>
        <w:spacing w:line="360" w:lineRule="auto"/>
        <w:rPr>
          <w:rFonts w:ascii="宋体" w:hAnsi="宋体"/>
          <w:b/>
          <w:sz w:val="24"/>
        </w:rPr>
      </w:pPr>
      <w:r>
        <w:rPr>
          <w:rFonts w:ascii="宋体" w:hAnsi="宋体" w:hint="eastAsia"/>
          <w:b/>
          <w:sz w:val="24"/>
        </w:rPr>
        <w:t>甲    方</w:t>
      </w:r>
      <w:r>
        <w:rPr>
          <w:rFonts w:ascii="宋体" w:hAnsi="宋体" w:cs="宋体" w:hint="eastAsia"/>
          <w:sz w:val="24"/>
        </w:rPr>
        <w:t>（采购人）</w:t>
      </w:r>
      <w:r>
        <w:rPr>
          <w:rFonts w:ascii="宋体" w:hAnsi="宋体" w:hint="eastAsia"/>
          <w:b/>
          <w:sz w:val="24"/>
        </w:rPr>
        <w:t>：</w:t>
      </w:r>
    </w:p>
    <w:p>
      <w:pPr>
        <w:spacing w:line="360" w:lineRule="auto"/>
        <w:rPr>
          <w:rFonts w:ascii="宋体" w:hAnsi="宋体"/>
          <w:sz w:val="24"/>
        </w:rPr>
      </w:pPr>
      <w:r>
        <w:rPr>
          <w:rFonts w:ascii="宋体" w:hAnsi="宋体" w:hint="eastAsia"/>
          <w:sz w:val="24"/>
        </w:rPr>
        <w:t xml:space="preserve">电    话：          </w:t>
      </w:r>
    </w:p>
    <w:p>
      <w:pPr>
        <w:spacing w:line="360" w:lineRule="auto"/>
        <w:rPr>
          <w:rFonts w:ascii="宋体" w:hAnsi="宋体"/>
          <w:sz w:val="24"/>
        </w:rPr>
      </w:pPr>
      <w:r>
        <w:rPr>
          <w:rFonts w:ascii="宋体" w:hAnsi="宋体" w:hint="eastAsia"/>
          <w:sz w:val="24"/>
        </w:rPr>
        <w:t xml:space="preserve">传  真：          </w:t>
      </w:r>
    </w:p>
    <w:p>
      <w:pPr>
        <w:spacing w:line="360" w:lineRule="auto"/>
        <w:rPr>
          <w:rFonts w:ascii="宋体" w:hAnsi="宋体"/>
          <w:sz w:val="24"/>
        </w:rPr>
      </w:pPr>
      <w:r>
        <w:rPr>
          <w:rFonts w:ascii="宋体" w:hAnsi="宋体" w:hint="eastAsia"/>
          <w:sz w:val="24"/>
        </w:rPr>
        <w:t>住  所：</w:t>
      </w:r>
    </w:p>
    <w:p>
      <w:pPr>
        <w:spacing w:line="360" w:lineRule="auto"/>
        <w:rPr>
          <w:rFonts w:ascii="宋体" w:hAnsi="宋体"/>
          <w:b/>
          <w:sz w:val="24"/>
        </w:rPr>
      </w:pPr>
    </w:p>
    <w:p>
      <w:pPr>
        <w:spacing w:line="360" w:lineRule="auto"/>
        <w:rPr>
          <w:rFonts w:ascii="宋体" w:eastAsia="宋体" w:hAnsi="宋体" w:hint="eastAsia"/>
          <w:b/>
          <w:sz w:val="24"/>
          <w:lang w:eastAsia="zh-CN"/>
        </w:rPr>
      </w:pPr>
      <w:r>
        <w:rPr>
          <w:rFonts w:ascii="宋体" w:hAnsi="宋体" w:hint="eastAsia"/>
          <w:b/>
          <w:sz w:val="24"/>
        </w:rPr>
        <w:t>乙    方</w:t>
      </w:r>
      <w:r>
        <w:rPr>
          <w:rFonts w:ascii="宋体" w:hAnsi="宋体" w:cs="宋体" w:hint="eastAsia"/>
          <w:sz w:val="24"/>
        </w:rPr>
        <w:t>（中标人）</w:t>
      </w:r>
      <w:r>
        <w:rPr>
          <w:rFonts w:ascii="宋体" w:hAnsi="宋体" w:hint="eastAsia"/>
          <w:b/>
          <w:sz w:val="24"/>
        </w:rPr>
        <w:t>：</w:t>
      </w:r>
    </w:p>
    <w:p>
      <w:pPr>
        <w:spacing w:line="360" w:lineRule="auto"/>
        <w:rPr>
          <w:rFonts w:ascii="宋体" w:hAnsi="宋体"/>
          <w:sz w:val="24"/>
        </w:rPr>
      </w:pPr>
      <w:r>
        <w:rPr>
          <w:rFonts w:ascii="宋体" w:hAnsi="宋体" w:hint="eastAsia"/>
          <w:sz w:val="24"/>
        </w:rPr>
        <w:t xml:space="preserve">电    话：                </w:t>
      </w:r>
    </w:p>
    <w:p>
      <w:pPr>
        <w:spacing w:line="360" w:lineRule="auto"/>
        <w:rPr>
          <w:rFonts w:ascii="宋体" w:hAnsi="宋体"/>
          <w:sz w:val="24"/>
        </w:rPr>
      </w:pPr>
      <w:r>
        <w:rPr>
          <w:rFonts w:ascii="宋体" w:hAnsi="宋体" w:hint="eastAsia"/>
          <w:sz w:val="24"/>
        </w:rPr>
        <w:t xml:space="preserve">传  真：           住  所：   </w:t>
      </w:r>
    </w:p>
    <w:p>
      <w:pPr>
        <w:spacing w:line="360" w:lineRule="auto"/>
        <w:ind w:firstLine="420" w:firstLineChars="200"/>
        <w:rPr>
          <w:rFonts w:ascii="宋体" w:hAnsi="宋体"/>
          <w:sz w:val="24"/>
        </w:rPr>
      </w:pPr>
      <w:r>
        <w:rPr>
          <w:rFonts w:ascii="宋体" w:hAnsi="宋体" w:cs="宋体" w:hint="eastAsia"/>
          <w:sz w:val="24"/>
        </w:rPr>
        <w:t>根据</w:t>
      </w:r>
      <w:r>
        <w:rPr>
          <w:rFonts w:ascii="宋体" w:hAnsi="宋体" w:cs="宋体" w:hint="eastAsia"/>
          <w:sz w:val="24"/>
          <w:u w:val="single"/>
        </w:rPr>
        <w:t xml:space="preserve">  </w:t>
      </w:r>
      <w:r>
        <w:rPr>
          <w:rFonts w:ascii="宋体" w:hAnsi="宋体" w:cs="宋体" w:hint="eastAsia"/>
          <w:sz w:val="24"/>
          <w:u w:val="single"/>
          <w:lang w:eastAsia="zh-CN"/>
        </w:rPr>
        <w:t>2023-2024年基准年碳核查全流程技术支持服务</w:t>
      </w:r>
      <w:r>
        <w:rPr>
          <w:rFonts w:ascii="宋体" w:hAnsi="宋体" w:cs="宋体" w:hint="eastAsia"/>
          <w:sz w:val="24"/>
          <w:u w:val="single"/>
        </w:rPr>
        <w:t xml:space="preserve">  </w:t>
      </w:r>
      <w:r>
        <w:rPr>
          <w:rFonts w:ascii="宋体" w:hAnsi="宋体" w:cs="宋体" w:hint="eastAsia"/>
          <w:sz w:val="24"/>
        </w:rPr>
        <w:t>（项目编号：</w:t>
      </w:r>
      <w:r>
        <w:rPr>
          <w:rFonts w:ascii="宋体" w:hAnsi="宋体" w:hint="eastAsia"/>
          <w:sz w:val="24"/>
          <w:lang w:eastAsia="zh-CN"/>
        </w:rPr>
        <w:t>SZDL2022002374（CLF0122SZ17ZC77）</w:t>
      </w:r>
      <w:r>
        <w:rPr>
          <w:rFonts w:ascii="宋体" w:hAnsi="宋体" w:cs="宋体" w:hint="eastAsia"/>
          <w:sz w:val="24"/>
        </w:rPr>
        <w:t>）</w:t>
      </w:r>
      <w:r>
        <w:rPr>
          <w:rFonts w:ascii="宋体" w:hAnsi="宋体" w:hint="eastAsia"/>
          <w:sz w:val="24"/>
        </w:rPr>
        <w:t>的采购结果，按照《中华人民共和国政府采购法》</w:t>
      </w:r>
      <w:r>
        <w:rPr>
          <w:rFonts w:ascii="宋体" w:hAnsi="宋体" w:cs="宋体" w:hint="eastAsia"/>
          <w:sz w:val="24"/>
        </w:rPr>
        <w:t>及其实施条例</w:t>
      </w:r>
      <w:r>
        <w:rPr>
          <w:rFonts w:ascii="宋体" w:hAnsi="宋体" w:hint="eastAsia"/>
          <w:sz w:val="24"/>
        </w:rPr>
        <w:t>、《中华人民共和国民法典》的规定，</w:t>
      </w:r>
      <w:r>
        <w:rPr>
          <w:rFonts w:ascii="宋体" w:hAnsi="宋体" w:hint="eastAsia"/>
          <w:kern w:val="28"/>
          <w:sz w:val="24"/>
        </w:rPr>
        <w:t>经双方协商，</w:t>
      </w:r>
      <w:r>
        <w:rPr>
          <w:rFonts w:ascii="宋体" w:hAnsi="宋体" w:hint="eastAsia"/>
          <w:sz w:val="24"/>
        </w:rPr>
        <w:t>本着平等互利和诚实信用的原则，</w:t>
      </w:r>
      <w:r>
        <w:rPr>
          <w:rFonts w:ascii="宋体" w:hAnsi="宋体" w:hint="eastAsia"/>
          <w:kern w:val="28"/>
          <w:sz w:val="24"/>
        </w:rPr>
        <w:t>一致同意签订本合同如下</w:t>
      </w:r>
      <w:r>
        <w:rPr>
          <w:rFonts w:ascii="宋体" w:hAnsi="宋体" w:hint="eastAsia"/>
          <w:sz w:val="24"/>
        </w:rPr>
        <w:t>。</w:t>
      </w:r>
    </w:p>
    <w:p>
      <w:pPr>
        <w:numPr>
          <w:ilvl w:val="0"/>
          <w:numId w:val="63"/>
        </w:numPr>
        <w:autoSpaceDE w:val="0"/>
        <w:autoSpaceDN w:val="0"/>
        <w:adjustRightInd w:val="0"/>
        <w:spacing w:line="360" w:lineRule="auto"/>
        <w:ind w:left="506" w:hanging="441" w:hangingChars="210"/>
        <w:jc w:val="left"/>
        <w:outlineLvl w:val="3"/>
        <w:rPr>
          <w:rFonts w:ascii="宋体" w:hAnsi="宋体"/>
          <w:b/>
          <w:sz w:val="24"/>
        </w:rPr>
      </w:pPr>
      <w:r>
        <w:rPr>
          <w:rFonts w:ascii="宋体" w:hAnsi="宋体" w:hint="eastAsia"/>
          <w:b/>
          <w:sz w:val="24"/>
        </w:rPr>
        <w:t>采购标的、数量</w:t>
      </w:r>
    </w:p>
    <w:tbl>
      <w:tblPr>
        <w:tblStyle w:val="TableGrid"/>
        <w:tblW w:w="9396" w:type="dxa"/>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0" w:type="dxa"/>
          <w:left w:w="108" w:type="dxa"/>
          <w:bottom w:w="0" w:type="dxa"/>
          <w:right w:w="108" w:type="dxa"/>
        </w:tblCellMar>
      </w:tblPr>
      <w:tblGrid>
        <w:gridCol w:w="1242"/>
        <w:gridCol w:w="5022"/>
        <w:gridCol w:w="3132"/>
      </w:tblGrid>
      <w:tr>
        <w:tblPrEx>
          <w:tblW w:w="9396" w:type="dxa"/>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0" w:type="dxa"/>
            <w:left w:w="108" w:type="dxa"/>
            <w:bottom w:w="0" w:type="dxa"/>
            <w:right w:w="108" w:type="dxa"/>
          </w:tblCellMar>
        </w:tblPrEx>
        <w:tc>
          <w:tcPr>
            <w:tcW w:w="1242" w:type="dxa"/>
          </w:tcPr>
          <w:p>
            <w:pPr>
              <w:tabs>
                <w:tab w:val="left" w:pos="426"/>
              </w:tabs>
              <w:autoSpaceDE w:val="0"/>
              <w:autoSpaceDN w:val="0"/>
              <w:adjustRightInd w:val="0"/>
              <w:spacing w:line="360" w:lineRule="auto"/>
              <w:jc w:val="center"/>
              <w:rPr>
                <w:rFonts w:ascii="宋体" w:hAnsi="宋体"/>
                <w:b/>
                <w:kern w:val="0"/>
                <w:sz w:val="24"/>
              </w:rPr>
            </w:pPr>
            <w:r>
              <w:rPr>
                <w:rFonts w:ascii="宋体" w:hAnsi="宋体" w:hint="eastAsia"/>
                <w:b/>
                <w:kern w:val="0"/>
                <w:sz w:val="24"/>
              </w:rPr>
              <w:t>序号</w:t>
            </w:r>
          </w:p>
        </w:tc>
        <w:tc>
          <w:tcPr>
            <w:tcW w:w="5022" w:type="dxa"/>
          </w:tcPr>
          <w:p>
            <w:pPr>
              <w:tabs>
                <w:tab w:val="left" w:pos="426"/>
              </w:tabs>
              <w:autoSpaceDE w:val="0"/>
              <w:autoSpaceDN w:val="0"/>
              <w:adjustRightInd w:val="0"/>
              <w:spacing w:line="360" w:lineRule="auto"/>
              <w:jc w:val="center"/>
              <w:rPr>
                <w:rFonts w:ascii="宋体" w:hAnsi="宋体"/>
                <w:kern w:val="0"/>
                <w:sz w:val="24"/>
              </w:rPr>
            </w:pPr>
            <w:r>
              <w:rPr>
                <w:rFonts w:ascii="宋体" w:hAnsi="宋体" w:hint="eastAsia"/>
                <w:b/>
                <w:kern w:val="0"/>
                <w:sz w:val="24"/>
              </w:rPr>
              <w:t>采购标的</w:t>
            </w:r>
          </w:p>
        </w:tc>
        <w:tc>
          <w:tcPr>
            <w:tcW w:w="3132" w:type="dxa"/>
          </w:tcPr>
          <w:p>
            <w:pPr>
              <w:tabs>
                <w:tab w:val="left" w:pos="426"/>
              </w:tabs>
              <w:autoSpaceDE w:val="0"/>
              <w:autoSpaceDN w:val="0"/>
              <w:adjustRightInd w:val="0"/>
              <w:spacing w:line="360" w:lineRule="auto"/>
              <w:jc w:val="center"/>
              <w:rPr>
                <w:rFonts w:ascii="宋体" w:hAnsi="宋体"/>
                <w:b/>
                <w:kern w:val="0"/>
                <w:sz w:val="24"/>
              </w:rPr>
            </w:pPr>
            <w:r>
              <w:rPr>
                <w:rFonts w:ascii="宋体" w:hAnsi="宋体" w:hint="eastAsia"/>
                <w:b/>
                <w:kern w:val="0"/>
                <w:sz w:val="24"/>
              </w:rPr>
              <w:t>数量</w:t>
            </w:r>
          </w:p>
        </w:tc>
      </w:tr>
      <w:tr>
        <w:tblPrEx>
          <w:tblW w:w="9396" w:type="dxa"/>
          <w:tblInd w:w="0" w:type="dxa"/>
          <w:tblLayout w:type="fixed"/>
          <w:tblCellMar>
            <w:top w:w="0" w:type="dxa"/>
            <w:left w:w="108" w:type="dxa"/>
            <w:bottom w:w="0" w:type="dxa"/>
            <w:right w:w="108" w:type="dxa"/>
          </w:tblCellMar>
        </w:tblPrEx>
        <w:tc>
          <w:tcPr>
            <w:tcW w:w="1242" w:type="dxa"/>
          </w:tcPr>
          <w:p>
            <w:pPr>
              <w:tabs>
                <w:tab w:val="left" w:pos="426"/>
              </w:tabs>
              <w:autoSpaceDE w:val="0"/>
              <w:autoSpaceDN w:val="0"/>
              <w:adjustRightInd w:val="0"/>
              <w:spacing w:line="360" w:lineRule="auto"/>
              <w:jc w:val="center"/>
              <w:rPr>
                <w:rFonts w:ascii="宋体" w:hAnsi="宋体"/>
                <w:kern w:val="0"/>
                <w:sz w:val="24"/>
              </w:rPr>
            </w:pPr>
            <w:r>
              <w:rPr>
                <w:rFonts w:ascii="宋体" w:hAnsi="宋体" w:hint="eastAsia"/>
                <w:kern w:val="0"/>
                <w:sz w:val="24"/>
              </w:rPr>
              <w:t>1</w:t>
            </w:r>
          </w:p>
        </w:tc>
        <w:tc>
          <w:tcPr>
            <w:tcW w:w="5022" w:type="dxa"/>
          </w:tcPr>
          <w:p>
            <w:pPr>
              <w:tabs>
                <w:tab w:val="left" w:pos="426"/>
              </w:tabs>
              <w:autoSpaceDE w:val="0"/>
              <w:autoSpaceDN w:val="0"/>
              <w:adjustRightInd w:val="0"/>
              <w:spacing w:line="360" w:lineRule="auto"/>
              <w:jc w:val="left"/>
              <w:rPr>
                <w:rFonts w:ascii="宋体" w:hAnsi="宋体"/>
                <w:kern w:val="0"/>
                <w:sz w:val="24"/>
              </w:rPr>
            </w:pPr>
          </w:p>
        </w:tc>
        <w:tc>
          <w:tcPr>
            <w:tcW w:w="3132" w:type="dxa"/>
          </w:tcPr>
          <w:p>
            <w:pPr>
              <w:tabs>
                <w:tab w:val="left" w:pos="426"/>
              </w:tabs>
              <w:autoSpaceDE w:val="0"/>
              <w:autoSpaceDN w:val="0"/>
              <w:adjustRightInd w:val="0"/>
              <w:spacing w:line="360" w:lineRule="auto"/>
              <w:jc w:val="left"/>
              <w:rPr>
                <w:rFonts w:ascii="宋体" w:hAnsi="宋体"/>
                <w:kern w:val="0"/>
                <w:sz w:val="24"/>
              </w:rPr>
            </w:pPr>
          </w:p>
        </w:tc>
      </w:tr>
      <w:tr>
        <w:tblPrEx>
          <w:tblW w:w="9396" w:type="dxa"/>
          <w:tblInd w:w="0" w:type="dxa"/>
          <w:tblLayout w:type="fixed"/>
          <w:tblCellMar>
            <w:top w:w="0" w:type="dxa"/>
            <w:left w:w="108" w:type="dxa"/>
            <w:bottom w:w="0" w:type="dxa"/>
            <w:right w:w="108" w:type="dxa"/>
          </w:tblCellMar>
        </w:tblPrEx>
        <w:tc>
          <w:tcPr>
            <w:tcW w:w="1242" w:type="dxa"/>
          </w:tcPr>
          <w:p>
            <w:pPr>
              <w:tabs>
                <w:tab w:val="left" w:pos="426"/>
              </w:tabs>
              <w:autoSpaceDE w:val="0"/>
              <w:autoSpaceDN w:val="0"/>
              <w:adjustRightInd w:val="0"/>
              <w:spacing w:line="360" w:lineRule="auto"/>
              <w:jc w:val="center"/>
              <w:rPr>
                <w:rFonts w:ascii="宋体" w:hAnsi="宋体"/>
                <w:kern w:val="0"/>
                <w:sz w:val="24"/>
              </w:rPr>
            </w:pPr>
            <w:r>
              <w:rPr>
                <w:rFonts w:ascii="宋体" w:hAnsi="宋体" w:hint="eastAsia"/>
                <w:kern w:val="0"/>
                <w:sz w:val="24"/>
              </w:rPr>
              <w:t>2</w:t>
            </w:r>
          </w:p>
        </w:tc>
        <w:tc>
          <w:tcPr>
            <w:tcW w:w="5022" w:type="dxa"/>
          </w:tcPr>
          <w:p>
            <w:pPr>
              <w:pStyle w:val="ListParagraph"/>
              <w:widowControl/>
              <w:spacing w:line="360" w:lineRule="auto"/>
              <w:ind w:left="425" w:firstLine="0" w:firstLineChars="0"/>
              <w:jc w:val="left"/>
              <w:rPr>
                <w:rFonts w:ascii="宋体" w:hAnsi="宋体"/>
                <w:kern w:val="0"/>
                <w:sz w:val="24"/>
              </w:rPr>
            </w:pPr>
          </w:p>
        </w:tc>
        <w:tc>
          <w:tcPr>
            <w:tcW w:w="3132" w:type="dxa"/>
          </w:tcPr>
          <w:p>
            <w:pPr>
              <w:tabs>
                <w:tab w:val="left" w:pos="426"/>
              </w:tabs>
              <w:autoSpaceDE w:val="0"/>
              <w:autoSpaceDN w:val="0"/>
              <w:adjustRightInd w:val="0"/>
              <w:spacing w:line="360" w:lineRule="auto"/>
              <w:jc w:val="left"/>
              <w:rPr>
                <w:rFonts w:ascii="宋体" w:hAnsi="宋体"/>
                <w:kern w:val="0"/>
                <w:sz w:val="24"/>
              </w:rPr>
            </w:pPr>
          </w:p>
        </w:tc>
      </w:tr>
    </w:tbl>
    <w:p>
      <w:pPr>
        <w:numPr>
          <w:ilvl w:val="0"/>
          <w:numId w:val="63"/>
        </w:numPr>
        <w:autoSpaceDE w:val="0"/>
        <w:autoSpaceDN w:val="0"/>
        <w:adjustRightInd w:val="0"/>
        <w:spacing w:line="360" w:lineRule="auto"/>
        <w:ind w:left="506" w:hanging="441" w:hangingChars="210"/>
        <w:jc w:val="left"/>
        <w:outlineLvl w:val="3"/>
        <w:rPr>
          <w:rFonts w:ascii="宋体" w:hAnsi="宋体"/>
          <w:b/>
          <w:sz w:val="24"/>
        </w:rPr>
      </w:pPr>
      <w:bookmarkStart w:id="120" w:name="_Toc435540759"/>
      <w:r>
        <w:rPr>
          <w:rFonts w:ascii="宋体" w:hAnsi="宋体" w:hint="eastAsia"/>
          <w:b/>
          <w:sz w:val="24"/>
        </w:rPr>
        <w:t>合同金额</w:t>
      </w:r>
      <w:bookmarkEnd w:id="120"/>
    </w:p>
    <w:p>
      <w:pPr>
        <w:pStyle w:val="PlainText"/>
        <w:spacing w:line="360" w:lineRule="auto"/>
        <w:ind w:firstLine="420" w:firstLineChars="200"/>
        <w:rPr>
          <w:rFonts w:hAnsi="宋体"/>
          <w:sz w:val="24"/>
          <w:szCs w:val="24"/>
        </w:rPr>
      </w:pPr>
      <w:r>
        <w:rPr>
          <w:rFonts w:hAnsi="宋体" w:hint="eastAsia"/>
          <w:sz w:val="24"/>
          <w:szCs w:val="24"/>
        </w:rPr>
        <w:t>合同金额为（大写）：_________________元（￥_______________元）。</w:t>
      </w:r>
    </w:p>
    <w:p>
      <w:pPr>
        <w:numPr>
          <w:ilvl w:val="0"/>
          <w:numId w:val="63"/>
        </w:numPr>
        <w:autoSpaceDE w:val="0"/>
        <w:autoSpaceDN w:val="0"/>
        <w:adjustRightInd w:val="0"/>
        <w:spacing w:line="360" w:lineRule="auto"/>
        <w:ind w:left="506" w:hanging="441" w:hangingChars="210"/>
        <w:jc w:val="left"/>
        <w:outlineLvl w:val="3"/>
        <w:rPr>
          <w:rFonts w:ascii="宋体" w:hAnsi="宋体"/>
          <w:b/>
          <w:sz w:val="24"/>
        </w:rPr>
      </w:pPr>
      <w:bookmarkStart w:id="121" w:name="_Toc435540760"/>
      <w:r>
        <w:rPr>
          <w:rFonts w:ascii="宋体" w:hAnsi="宋体" w:hint="eastAsia"/>
          <w:b/>
          <w:sz w:val="24"/>
        </w:rPr>
        <w:t>服务</w:t>
      </w:r>
      <w:bookmarkEnd w:id="121"/>
      <w:r>
        <w:rPr>
          <w:rFonts w:ascii="宋体" w:hAnsi="宋体" w:hint="eastAsia"/>
          <w:b/>
          <w:sz w:val="24"/>
        </w:rPr>
        <w:t>内容</w:t>
      </w:r>
    </w:p>
    <w:p>
      <w:pPr>
        <w:pStyle w:val="ListParagraph"/>
        <w:numPr>
          <w:ilvl w:val="0"/>
          <w:numId w:val="64"/>
        </w:numPr>
        <w:spacing w:line="360" w:lineRule="auto"/>
        <w:ind w:firstLine="6" w:firstLineChars="0"/>
        <w:rPr>
          <w:rStyle w:val="p1410"/>
          <w:rFonts w:ascii="宋体" w:hAnsi="宋体"/>
          <w:sz w:val="24"/>
        </w:rPr>
      </w:pPr>
      <w:r>
        <w:rPr>
          <w:rStyle w:val="p1410"/>
          <w:rFonts w:ascii="宋体" w:hAnsi="宋体" w:hint="eastAsia"/>
          <w:sz w:val="24"/>
        </w:rPr>
        <w:t>本项目主要技术内容是：</w:t>
      </w:r>
      <w:r>
        <w:rPr>
          <w:rFonts w:ascii="宋体" w:hAnsi="宋体" w:hint="eastAsia"/>
          <w:sz w:val="24"/>
          <w:u w:val="single"/>
        </w:rPr>
        <w:t xml:space="preserve">                           </w:t>
      </w:r>
    </w:p>
    <w:p>
      <w:pPr>
        <w:pStyle w:val="ListParagraph"/>
        <w:numPr>
          <w:ilvl w:val="0"/>
          <w:numId w:val="64"/>
        </w:numPr>
        <w:spacing w:line="360" w:lineRule="auto"/>
        <w:ind w:firstLine="6" w:firstLineChars="0"/>
        <w:rPr>
          <w:rFonts w:ascii="宋体" w:hAnsi="宋体"/>
          <w:sz w:val="24"/>
          <w:u w:val="single"/>
        </w:rPr>
      </w:pPr>
      <w:r>
        <w:rPr>
          <w:rFonts w:ascii="宋体" w:hAnsi="宋体" w:hint="eastAsia"/>
          <w:sz w:val="24"/>
        </w:rPr>
        <w:t>……</w:t>
      </w:r>
    </w:p>
    <w:p>
      <w:pPr>
        <w:pStyle w:val="ListParagraph"/>
        <w:numPr>
          <w:ilvl w:val="0"/>
          <w:numId w:val="64"/>
        </w:numPr>
        <w:spacing w:line="360" w:lineRule="auto"/>
        <w:ind w:firstLine="6" w:firstLineChars="0"/>
        <w:rPr>
          <w:rFonts w:ascii="宋体" w:hAnsi="宋体"/>
          <w:sz w:val="24"/>
          <w:u w:val="single"/>
        </w:rPr>
      </w:pPr>
      <w:r>
        <w:rPr>
          <w:rFonts w:ascii="宋体" w:hAnsi="宋体" w:hint="eastAsia"/>
          <w:sz w:val="24"/>
        </w:rPr>
        <w:t>……</w:t>
      </w:r>
    </w:p>
    <w:p>
      <w:pPr>
        <w:numPr>
          <w:ilvl w:val="0"/>
          <w:numId w:val="63"/>
        </w:numPr>
        <w:autoSpaceDE w:val="0"/>
        <w:autoSpaceDN w:val="0"/>
        <w:adjustRightInd w:val="0"/>
        <w:spacing w:line="360" w:lineRule="auto"/>
        <w:ind w:left="506" w:hanging="441" w:hangingChars="210"/>
        <w:jc w:val="left"/>
        <w:outlineLvl w:val="3"/>
        <w:rPr>
          <w:rFonts w:ascii="宋体" w:hAnsi="宋体"/>
          <w:b/>
          <w:sz w:val="24"/>
        </w:rPr>
      </w:pPr>
      <w:r>
        <w:rPr>
          <w:rFonts w:ascii="宋体" w:hAnsi="宋体" w:hint="eastAsia"/>
          <w:b/>
          <w:sz w:val="24"/>
        </w:rPr>
        <w:t>质量要求</w:t>
      </w:r>
    </w:p>
    <w:p>
      <w:pPr>
        <w:numPr>
          <w:ilvl w:val="0"/>
          <w:numId w:val="63"/>
        </w:numPr>
        <w:autoSpaceDE w:val="0"/>
        <w:autoSpaceDN w:val="0"/>
        <w:adjustRightInd w:val="0"/>
        <w:spacing w:line="360" w:lineRule="auto"/>
        <w:ind w:left="506" w:hanging="441" w:hangingChars="210"/>
        <w:jc w:val="left"/>
        <w:outlineLvl w:val="3"/>
        <w:rPr>
          <w:rFonts w:ascii="宋体" w:hAnsi="宋体"/>
          <w:b/>
          <w:sz w:val="24"/>
        </w:rPr>
      </w:pPr>
      <w:bookmarkStart w:id="122" w:name="_Toc435540761"/>
      <w:r>
        <w:rPr>
          <w:rFonts w:ascii="宋体" w:hAnsi="宋体" w:hint="eastAsia"/>
          <w:b/>
          <w:sz w:val="24"/>
        </w:rPr>
        <w:t>售后服务承诺</w:t>
      </w:r>
    </w:p>
    <w:p>
      <w:pPr>
        <w:pStyle w:val="ListParagraph"/>
        <w:numPr>
          <w:ilvl w:val="0"/>
          <w:numId w:val="65"/>
        </w:numPr>
        <w:spacing w:line="360" w:lineRule="auto"/>
        <w:ind w:firstLine="6" w:firstLineChars="0"/>
        <w:rPr>
          <w:rFonts w:ascii="Arial" w:hAnsi="Arial" w:cs="Arial"/>
          <w:kern w:val="0"/>
          <w:sz w:val="24"/>
        </w:rPr>
      </w:pPr>
      <w:r>
        <w:rPr>
          <w:rFonts w:ascii="Arial" w:hAnsi="Arial" w:cs="Arial"/>
          <w:kern w:val="0"/>
          <w:sz w:val="24"/>
        </w:rPr>
        <w:t>乙方为甲方提供验收后</w:t>
      </w:r>
      <w:r>
        <w:rPr>
          <w:rFonts w:ascii="Arial" w:hAnsi="Arial" w:cs="Arial"/>
          <w:kern w:val="0"/>
          <w:sz w:val="24"/>
          <w:u w:val="single"/>
        </w:rPr>
        <w:t xml:space="preserve">   </w:t>
      </w:r>
      <w:r>
        <w:rPr>
          <w:rFonts w:ascii="Arial" w:hAnsi="Arial" w:cs="Arial"/>
          <w:kern w:val="0"/>
          <w:sz w:val="24"/>
        </w:rPr>
        <w:t>年的免费维护服务，为甲方提供技术支持，保证甲方顺利运行系统。</w:t>
      </w:r>
    </w:p>
    <w:p>
      <w:pPr>
        <w:pStyle w:val="ListParagraph"/>
        <w:numPr>
          <w:ilvl w:val="0"/>
          <w:numId w:val="65"/>
        </w:numPr>
        <w:spacing w:line="360" w:lineRule="auto"/>
        <w:ind w:firstLine="6" w:firstLineChars="0"/>
        <w:rPr>
          <w:rFonts w:ascii="Arial" w:hAnsi="Arial" w:cs="Arial"/>
          <w:kern w:val="0"/>
          <w:sz w:val="24"/>
        </w:rPr>
      </w:pPr>
      <w:r>
        <w:rPr>
          <w:rFonts w:ascii="Arial" w:hAnsi="Arial" w:cs="Arial"/>
          <w:kern w:val="0"/>
          <w:sz w:val="24"/>
        </w:rPr>
        <w:t>对于电话方式无法解决的问题，乙方必须在</w:t>
      </w:r>
      <w:r>
        <w:rPr>
          <w:rFonts w:ascii="Arial" w:hAnsi="Arial" w:cs="Arial"/>
          <w:kern w:val="0"/>
          <w:sz w:val="24"/>
          <w:u w:val="single"/>
        </w:rPr>
        <w:t xml:space="preserve">   </w:t>
      </w:r>
      <w:r>
        <w:rPr>
          <w:rFonts w:ascii="Arial" w:hAnsi="Arial" w:cs="Arial"/>
          <w:kern w:val="0"/>
          <w:sz w:val="24"/>
        </w:rPr>
        <w:t>小时之内派人到甲方现场维护。</w:t>
      </w:r>
    </w:p>
    <w:p>
      <w:pPr>
        <w:numPr>
          <w:ilvl w:val="0"/>
          <w:numId w:val="63"/>
        </w:numPr>
        <w:autoSpaceDE w:val="0"/>
        <w:autoSpaceDN w:val="0"/>
        <w:adjustRightInd w:val="0"/>
        <w:spacing w:line="360" w:lineRule="auto"/>
        <w:ind w:left="506" w:hanging="441" w:hangingChars="210"/>
        <w:jc w:val="left"/>
        <w:outlineLvl w:val="3"/>
        <w:rPr>
          <w:rFonts w:ascii="宋体" w:hAnsi="宋体"/>
          <w:b/>
          <w:sz w:val="24"/>
        </w:rPr>
      </w:pPr>
      <w:r>
        <w:rPr>
          <w:rFonts w:ascii="宋体" w:hAnsi="宋体" w:hint="eastAsia"/>
          <w:b/>
          <w:sz w:val="24"/>
        </w:rPr>
        <w:t>甲方乙方的权利和义务</w:t>
      </w:r>
      <w:bookmarkEnd w:id="122"/>
    </w:p>
    <w:p>
      <w:pPr>
        <w:pStyle w:val="ListParagraph"/>
        <w:numPr>
          <w:ilvl w:val="0"/>
          <w:numId w:val="66"/>
        </w:numPr>
        <w:spacing w:line="360" w:lineRule="auto"/>
        <w:ind w:firstLine="6" w:firstLineChars="0"/>
        <w:rPr>
          <w:rFonts w:ascii="Arial" w:hAnsi="Arial" w:cs="Arial"/>
          <w:kern w:val="0"/>
          <w:sz w:val="24"/>
        </w:rPr>
      </w:pPr>
      <w:r>
        <w:rPr>
          <w:rFonts w:ascii="Arial" w:hAnsi="Arial" w:cs="Arial" w:hint="eastAsia"/>
          <w:kern w:val="0"/>
          <w:sz w:val="24"/>
        </w:rPr>
        <w:t>甲方的权利和义务</w:t>
      </w:r>
    </w:p>
    <w:p>
      <w:pPr>
        <w:pStyle w:val="ListParagraph"/>
        <w:spacing w:line="360" w:lineRule="auto"/>
        <w:ind w:left="426" w:firstLine="0" w:firstLineChars="0"/>
        <w:rPr>
          <w:rFonts w:ascii="Arial" w:hAnsi="Arial" w:cs="Arial"/>
          <w:kern w:val="0"/>
          <w:sz w:val="24"/>
        </w:rPr>
      </w:pPr>
    </w:p>
    <w:p>
      <w:pPr>
        <w:pStyle w:val="ListParagraph"/>
        <w:numPr>
          <w:ilvl w:val="0"/>
          <w:numId w:val="66"/>
        </w:numPr>
        <w:spacing w:line="360" w:lineRule="auto"/>
        <w:ind w:firstLine="6" w:firstLineChars="0"/>
        <w:rPr>
          <w:rFonts w:ascii="Arial" w:hAnsi="Arial" w:cs="Arial"/>
          <w:kern w:val="0"/>
          <w:sz w:val="24"/>
        </w:rPr>
      </w:pPr>
      <w:r>
        <w:rPr>
          <w:rFonts w:ascii="Arial" w:hAnsi="Arial" w:cs="Arial" w:hint="eastAsia"/>
          <w:kern w:val="0"/>
          <w:sz w:val="24"/>
        </w:rPr>
        <w:t>乙方的权利和义务</w:t>
      </w:r>
    </w:p>
    <w:p>
      <w:pPr>
        <w:numPr>
          <w:ilvl w:val="0"/>
          <w:numId w:val="63"/>
        </w:numPr>
        <w:autoSpaceDE w:val="0"/>
        <w:autoSpaceDN w:val="0"/>
        <w:adjustRightInd w:val="0"/>
        <w:spacing w:line="360" w:lineRule="auto"/>
        <w:ind w:left="506" w:hanging="441" w:hangingChars="210"/>
        <w:jc w:val="left"/>
        <w:outlineLvl w:val="3"/>
        <w:rPr>
          <w:rFonts w:ascii="宋体" w:hAnsi="宋体"/>
          <w:sz w:val="24"/>
        </w:rPr>
      </w:pPr>
      <w:r>
        <w:rPr>
          <w:rFonts w:ascii="宋体" w:hAnsi="宋体" w:hint="eastAsia"/>
          <w:b/>
          <w:sz w:val="24"/>
        </w:rPr>
        <w:t>履行期限及地点：</w:t>
      </w:r>
      <w:r>
        <w:rPr>
          <w:rFonts w:ascii="宋体" w:hAnsi="宋体" w:hint="eastAsia"/>
          <w:sz w:val="24"/>
        </w:rPr>
        <w:t>详见本招标文件用户需求书</w:t>
      </w:r>
    </w:p>
    <w:p>
      <w:pPr>
        <w:numPr>
          <w:ilvl w:val="0"/>
          <w:numId w:val="63"/>
        </w:numPr>
        <w:autoSpaceDE w:val="0"/>
        <w:autoSpaceDN w:val="0"/>
        <w:adjustRightInd w:val="0"/>
        <w:spacing w:line="360" w:lineRule="auto"/>
        <w:ind w:left="506" w:hanging="441" w:hangingChars="210"/>
        <w:jc w:val="left"/>
        <w:outlineLvl w:val="3"/>
        <w:rPr>
          <w:rFonts w:ascii="宋体" w:hAnsi="宋体"/>
          <w:sz w:val="24"/>
        </w:rPr>
      </w:pPr>
      <w:bookmarkStart w:id="123" w:name="_Toc435540763"/>
      <w:r>
        <w:rPr>
          <w:rFonts w:ascii="宋体" w:hAnsi="宋体" w:hint="eastAsia"/>
          <w:b/>
          <w:sz w:val="24"/>
        </w:rPr>
        <w:t>付款方式</w:t>
      </w:r>
      <w:bookmarkEnd w:id="123"/>
      <w:r>
        <w:rPr>
          <w:rFonts w:ascii="宋体" w:hAnsi="宋体" w:hint="eastAsia"/>
          <w:b/>
          <w:sz w:val="24"/>
        </w:rPr>
        <w:t>：</w:t>
      </w:r>
      <w:r>
        <w:rPr>
          <w:rFonts w:ascii="宋体" w:hAnsi="宋体" w:hint="eastAsia"/>
          <w:sz w:val="24"/>
        </w:rPr>
        <w:t>详见本招标文件</w:t>
      </w:r>
      <w:r>
        <w:rPr>
          <w:rFonts w:ascii="宋体" w:hAnsi="宋体" w:cs="宋体" w:hint="eastAsia"/>
          <w:sz w:val="24"/>
        </w:rPr>
        <w:t>用户需求书</w:t>
      </w:r>
      <w:bookmarkStart w:id="124" w:name="_Toc435540764"/>
    </w:p>
    <w:p>
      <w:pPr>
        <w:numPr>
          <w:ilvl w:val="0"/>
          <w:numId w:val="63"/>
        </w:numPr>
        <w:autoSpaceDE w:val="0"/>
        <w:autoSpaceDN w:val="0"/>
        <w:adjustRightInd w:val="0"/>
        <w:spacing w:line="360" w:lineRule="auto"/>
        <w:ind w:left="506" w:hanging="441" w:hangingChars="210"/>
        <w:jc w:val="left"/>
        <w:outlineLvl w:val="3"/>
        <w:rPr>
          <w:rFonts w:ascii="宋体" w:hAnsi="宋体"/>
          <w:b/>
          <w:sz w:val="24"/>
        </w:rPr>
      </w:pPr>
      <w:r>
        <w:rPr>
          <w:rFonts w:ascii="宋体" w:hAnsi="宋体" w:hint="eastAsia"/>
          <w:b/>
          <w:sz w:val="24"/>
        </w:rPr>
        <w:t>验收要求：</w:t>
      </w:r>
    </w:p>
    <w:p>
      <w:pPr>
        <w:pStyle w:val="ListParagraph"/>
        <w:numPr>
          <w:ilvl w:val="0"/>
          <w:numId w:val="67"/>
        </w:numPr>
        <w:tabs>
          <w:tab w:val="left" w:pos="284"/>
          <w:tab w:val="left" w:pos="567"/>
        </w:tabs>
        <w:adjustRightInd w:val="0"/>
        <w:spacing w:line="360" w:lineRule="auto"/>
        <w:ind w:left="567" w:hanging="567" w:firstLineChars="0"/>
        <w:textAlignment w:val="baseline"/>
        <w:rPr>
          <w:rFonts w:ascii="Arial" w:hAnsi="Arial" w:cs="Arial"/>
          <w:color w:val="auto"/>
          <w:sz w:val="24"/>
        </w:rPr>
      </w:pPr>
      <w:r>
        <w:rPr>
          <w:rFonts w:asciiTheme="minorEastAsia" w:hAnsiTheme="minorEastAsia" w:hint="eastAsia"/>
          <w:sz w:val="24"/>
        </w:rPr>
        <w:t>完成全部合同约定的服务内容且采购人收到</w:t>
      </w:r>
      <w:r>
        <w:rPr>
          <w:rFonts w:asciiTheme="minorEastAsia" w:hAnsiTheme="minorEastAsia" w:hint="eastAsia"/>
          <w:color w:val="auto"/>
          <w:sz w:val="24"/>
        </w:rPr>
        <w:t>验收申请后</w:t>
      </w:r>
      <w:r>
        <w:rPr>
          <w:rFonts w:asciiTheme="minorEastAsia" w:hAnsiTheme="minorEastAsia" w:cs="宋体" w:hint="eastAsia"/>
          <w:color w:val="auto"/>
          <w:sz w:val="24"/>
          <w:u w:val="single"/>
        </w:rPr>
        <w:t>7个日历日</w:t>
      </w:r>
      <w:r>
        <w:rPr>
          <w:rFonts w:asciiTheme="minorEastAsia" w:hAnsiTheme="minorEastAsia" w:hint="eastAsia"/>
          <w:color w:val="auto"/>
          <w:sz w:val="24"/>
        </w:rPr>
        <w:t>内进行验收。</w:t>
      </w:r>
    </w:p>
    <w:p>
      <w:pPr>
        <w:pStyle w:val="ListParagraph"/>
        <w:numPr>
          <w:ilvl w:val="0"/>
          <w:numId w:val="67"/>
        </w:numPr>
        <w:tabs>
          <w:tab w:val="left" w:pos="284"/>
          <w:tab w:val="left" w:pos="567"/>
        </w:tabs>
        <w:adjustRightInd w:val="0"/>
        <w:spacing w:line="360" w:lineRule="auto"/>
        <w:ind w:left="567" w:hanging="567" w:firstLineChars="0"/>
        <w:textAlignment w:val="baseline"/>
        <w:rPr>
          <w:rFonts w:ascii="Arial" w:hAnsi="Arial" w:cs="Arial"/>
          <w:sz w:val="24"/>
        </w:rPr>
      </w:pPr>
      <w:r>
        <w:rPr>
          <w:rFonts w:ascii="Arial" w:hAnsi="Arial" w:cs="Arial"/>
          <w:color w:val="auto"/>
          <w:sz w:val="24"/>
        </w:rPr>
        <w:t>技术服务或者技术培训按 _______标准，采用</w:t>
      </w:r>
      <w:r>
        <w:rPr>
          <w:rFonts w:ascii="Arial" w:hAnsi="Arial" w:cs="Arial"/>
          <w:sz w:val="24"/>
        </w:rPr>
        <w:t>______方式验收，由_____方出具服务或者培训项目验收证明。</w:t>
      </w:r>
    </w:p>
    <w:p>
      <w:pPr>
        <w:pStyle w:val="ListParagraph"/>
        <w:numPr>
          <w:ilvl w:val="0"/>
          <w:numId w:val="67"/>
        </w:numPr>
        <w:tabs>
          <w:tab w:val="left" w:pos="284"/>
          <w:tab w:val="left" w:pos="567"/>
        </w:tabs>
        <w:adjustRightInd w:val="0"/>
        <w:spacing w:line="360" w:lineRule="auto"/>
        <w:ind w:left="567" w:hanging="567" w:firstLineChars="0"/>
        <w:textAlignment w:val="baseline"/>
        <w:rPr>
          <w:rFonts w:ascii="Arial" w:hAnsi="Arial" w:cs="Arial"/>
          <w:sz w:val="24"/>
        </w:rPr>
      </w:pPr>
      <w:r>
        <w:rPr>
          <w:rFonts w:ascii="Arial" w:hAnsi="Arial" w:cs="Arial"/>
          <w:sz w:val="24"/>
        </w:rPr>
        <w:t>本合同服务项目的保证期为______。在保证期内发现服务质量缺陷的，服务方应当负责返工或者采取补救措施。但因委托方使用、保管不当引起的问题除外。</w:t>
      </w:r>
    </w:p>
    <w:p>
      <w:pPr>
        <w:numPr>
          <w:ilvl w:val="0"/>
          <w:numId w:val="63"/>
        </w:numPr>
        <w:autoSpaceDE w:val="0"/>
        <w:autoSpaceDN w:val="0"/>
        <w:adjustRightInd w:val="0"/>
        <w:spacing w:line="360" w:lineRule="auto"/>
        <w:ind w:left="506" w:hanging="441" w:hangingChars="210"/>
        <w:jc w:val="left"/>
        <w:outlineLvl w:val="3"/>
        <w:rPr>
          <w:rFonts w:ascii="宋体" w:hAnsi="宋体"/>
          <w:b/>
          <w:sz w:val="24"/>
        </w:rPr>
      </w:pPr>
      <w:r>
        <w:rPr>
          <w:rFonts w:ascii="宋体" w:hAnsi="宋体" w:hint="eastAsia"/>
          <w:b/>
          <w:sz w:val="24"/>
        </w:rPr>
        <w:t>知识产权归属</w:t>
      </w:r>
      <w:bookmarkEnd w:id="124"/>
    </w:p>
    <w:p>
      <w:pPr>
        <w:spacing w:line="360" w:lineRule="auto"/>
        <w:ind w:firstLine="420" w:firstLineChars="200"/>
        <w:rPr>
          <w:rFonts w:ascii="宋体" w:hAnsi="宋体" w:cs="宋体"/>
          <w:sz w:val="24"/>
        </w:rPr>
      </w:pPr>
      <w:r>
        <w:rPr>
          <w:rFonts w:ascii="宋体" w:hAnsi="宋体" w:cs="宋体" w:hint="eastAsia"/>
          <w:sz w:val="24"/>
        </w:rPr>
        <w:t>乙方应保证本项目的投标技术、服务或其任何一部分不会产生因第三方提出侵犯其专利权、商标权或其他知识产权而引起的法律和经济纠纷；如因第三方提出其专利权、商标权或其他知识产权的侵权之诉，则一切法律责任由乙方承担。</w:t>
      </w:r>
    </w:p>
    <w:p>
      <w:pPr>
        <w:numPr>
          <w:ilvl w:val="0"/>
          <w:numId w:val="63"/>
        </w:numPr>
        <w:autoSpaceDE w:val="0"/>
        <w:autoSpaceDN w:val="0"/>
        <w:adjustRightInd w:val="0"/>
        <w:spacing w:line="360" w:lineRule="auto"/>
        <w:ind w:left="506" w:hanging="441" w:hangingChars="210"/>
        <w:jc w:val="left"/>
        <w:outlineLvl w:val="3"/>
        <w:rPr>
          <w:rFonts w:ascii="宋体" w:hAnsi="宋体"/>
          <w:b/>
          <w:sz w:val="24"/>
        </w:rPr>
      </w:pPr>
      <w:bookmarkStart w:id="125" w:name="_Toc435540765"/>
      <w:r>
        <w:rPr>
          <w:rFonts w:ascii="宋体" w:hAnsi="宋体" w:hint="eastAsia"/>
          <w:b/>
          <w:sz w:val="24"/>
        </w:rPr>
        <w:t>保密</w:t>
      </w:r>
      <w:bookmarkEnd w:id="125"/>
    </w:p>
    <w:p>
      <w:pPr>
        <w:pStyle w:val="ListParagraph"/>
        <w:numPr>
          <w:ilvl w:val="0"/>
          <w:numId w:val="68"/>
        </w:numPr>
        <w:tabs>
          <w:tab w:val="left" w:pos="284"/>
          <w:tab w:val="left" w:pos="567"/>
        </w:tabs>
        <w:spacing w:line="360" w:lineRule="auto"/>
        <w:ind w:firstLineChars="0"/>
        <w:rPr>
          <w:rFonts w:ascii="宋体" w:hAnsi="宋体" w:cs="宋体"/>
          <w:sz w:val="24"/>
        </w:rPr>
      </w:pPr>
      <w:r>
        <w:rPr>
          <w:rFonts w:ascii="宋体" w:hAnsi="宋体" w:cs="宋体" w:hint="eastAsia"/>
          <w:sz w:val="24"/>
        </w:rPr>
        <w:t>项目实施过程中至乙方正式向甲方交付技术文档资料时止，乙方必须采取措施对本项目实施过程中的数据、源代码、技术文档等资料保密，否则，由于乙方过错导致的上述资料泄密的，乙方必须承担一切责任。项目完成后，甲、乙双方均有责任对本项目的技术保密承担责任。</w:t>
      </w:r>
    </w:p>
    <w:p>
      <w:pPr>
        <w:pStyle w:val="ListParagraph"/>
        <w:numPr>
          <w:ilvl w:val="0"/>
          <w:numId w:val="68"/>
        </w:numPr>
        <w:tabs>
          <w:tab w:val="left" w:pos="284"/>
          <w:tab w:val="left" w:pos="567"/>
        </w:tabs>
        <w:spacing w:line="360" w:lineRule="auto"/>
        <w:ind w:left="567" w:hanging="567" w:firstLineChars="0"/>
        <w:rPr>
          <w:rFonts w:ascii="宋体" w:hAnsi="宋体" w:cs="宋体"/>
          <w:sz w:val="24"/>
        </w:rPr>
      </w:pPr>
      <w:r>
        <w:rPr>
          <w:rFonts w:ascii="宋体" w:hAnsi="宋体" w:hint="eastAsia"/>
          <w:sz w:val="24"/>
        </w:rPr>
        <w:t>未经甲方事先书面同意，乙方不得将由甲方为本合同提供的条文、规格、计划、图纸、模型、样品或资料提供给与本合同无关的任何第三方，不得将其用于履行本合同之外的其它用途。即使向与履行本合同有关的人员提供，也应注意保密并限于履行合同所必需的范围。</w:t>
      </w:r>
    </w:p>
    <w:p>
      <w:pPr>
        <w:pStyle w:val="ListParagraph"/>
        <w:numPr>
          <w:ilvl w:val="0"/>
          <w:numId w:val="68"/>
        </w:numPr>
        <w:tabs>
          <w:tab w:val="left" w:pos="284"/>
          <w:tab w:val="left" w:pos="567"/>
        </w:tabs>
        <w:spacing w:line="360" w:lineRule="auto"/>
        <w:ind w:left="567" w:hanging="567" w:firstLineChars="0"/>
        <w:rPr>
          <w:rFonts w:ascii="宋体" w:hAnsi="宋体" w:cs="宋体"/>
          <w:sz w:val="24"/>
        </w:rPr>
      </w:pPr>
      <w:r>
        <w:rPr>
          <w:rFonts w:ascii="宋体" w:hAnsi="宋体" w:hint="eastAsia"/>
          <w:sz w:val="24"/>
        </w:rPr>
        <w:t>除了合同本身之外，上款所列举的任何物件均是甲方的财产。如果甲方有要求，乙方在完成合同后应将这些物件及全部复制件还给甲方。</w:t>
      </w:r>
    </w:p>
    <w:p>
      <w:pPr>
        <w:numPr>
          <w:ilvl w:val="0"/>
          <w:numId w:val="63"/>
        </w:numPr>
        <w:autoSpaceDE w:val="0"/>
        <w:autoSpaceDN w:val="0"/>
        <w:adjustRightInd w:val="0"/>
        <w:spacing w:line="360" w:lineRule="auto"/>
        <w:ind w:left="506" w:hanging="441" w:hangingChars="210"/>
        <w:jc w:val="left"/>
        <w:outlineLvl w:val="3"/>
        <w:rPr>
          <w:rFonts w:ascii="宋体" w:hAnsi="宋体"/>
          <w:b/>
          <w:sz w:val="24"/>
        </w:rPr>
      </w:pPr>
      <w:bookmarkStart w:id="126" w:name="_Toc435540766"/>
      <w:r>
        <w:rPr>
          <w:rFonts w:ascii="宋体" w:hAnsi="宋体" w:hint="eastAsia"/>
          <w:b/>
          <w:sz w:val="24"/>
        </w:rPr>
        <w:t>违约责任与赔偿损失</w:t>
      </w:r>
      <w:bookmarkEnd w:id="126"/>
    </w:p>
    <w:p>
      <w:pPr>
        <w:pStyle w:val="ListParagraph"/>
        <w:numPr>
          <w:ilvl w:val="0"/>
          <w:numId w:val="69"/>
        </w:numPr>
        <w:tabs>
          <w:tab w:val="left" w:pos="567"/>
        </w:tabs>
        <w:spacing w:line="360" w:lineRule="auto"/>
        <w:ind w:left="567" w:hanging="567" w:firstLineChars="0"/>
        <w:rPr>
          <w:rFonts w:ascii="宋体" w:hAnsi="宋体"/>
          <w:sz w:val="24"/>
        </w:rPr>
      </w:pPr>
      <w:r>
        <w:rPr>
          <w:rFonts w:ascii="宋体" w:hAnsi="宋体" w:hint="eastAsia"/>
          <w:sz w:val="24"/>
        </w:rPr>
        <w:t>乙方提供的服务不符合采购文件、投标文件或本合同规定的，甲方有权拒收，并且乙方须向甲方支付本合同总价5%的违约金。</w:t>
      </w:r>
    </w:p>
    <w:p>
      <w:pPr>
        <w:pStyle w:val="ListParagraph"/>
        <w:numPr>
          <w:ilvl w:val="0"/>
          <w:numId w:val="69"/>
        </w:numPr>
        <w:tabs>
          <w:tab w:val="left" w:pos="567"/>
          <w:tab w:val="left" w:pos="720"/>
        </w:tabs>
        <w:spacing w:line="360" w:lineRule="auto"/>
        <w:ind w:left="567" w:right="51" w:hanging="567" w:firstLineChars="0"/>
        <w:rPr>
          <w:rFonts w:ascii="宋体" w:hAnsi="宋体"/>
          <w:sz w:val="24"/>
        </w:rPr>
      </w:pPr>
      <w:r>
        <w:rPr>
          <w:rFonts w:ascii="宋体" w:hAnsi="宋体" w:hint="eastAsia"/>
          <w:sz w:val="24"/>
        </w:rPr>
        <w:t>乙方未能按本合同规定的交货时间交付货物的/提供服务，从逾期之日起每日按本合同总价3‰的数额向甲方支付违约金；逾期15天以上（含15天）的，甲方有权终止合同，要求乙方支付违约金，并且给甲方造成的经济损失由乙方承担赔偿责任。</w:t>
      </w:r>
    </w:p>
    <w:p>
      <w:pPr>
        <w:pStyle w:val="ListParagraph"/>
        <w:numPr>
          <w:ilvl w:val="0"/>
          <w:numId w:val="69"/>
        </w:numPr>
        <w:tabs>
          <w:tab w:val="left" w:pos="567"/>
        </w:tabs>
        <w:spacing w:line="360" w:lineRule="auto"/>
        <w:ind w:left="567" w:hanging="567" w:firstLineChars="0"/>
        <w:rPr>
          <w:rFonts w:ascii="宋体" w:hAnsi="宋体"/>
          <w:sz w:val="24"/>
        </w:rPr>
      </w:pPr>
      <w:r>
        <w:rPr>
          <w:rFonts w:ascii="宋体" w:hAnsi="宋体" w:hint="eastAsia"/>
          <w:sz w:val="24"/>
        </w:rPr>
        <w:t>甲方无正当理由拒收接受服务，到期拒付服务款项的，甲方向乙方偿付本合同总价5%的违约金。甲方逾期付款，则每日按本合同总价的3‰向乙方偿付违约金。</w:t>
      </w:r>
    </w:p>
    <w:p>
      <w:pPr>
        <w:pStyle w:val="ListParagraph"/>
        <w:numPr>
          <w:ilvl w:val="0"/>
          <w:numId w:val="69"/>
        </w:numPr>
        <w:tabs>
          <w:tab w:val="left" w:pos="567"/>
        </w:tabs>
        <w:spacing w:line="360" w:lineRule="auto"/>
        <w:ind w:left="567" w:hanging="567" w:firstLineChars="0"/>
        <w:rPr>
          <w:rFonts w:ascii="宋体" w:hAnsi="宋体"/>
          <w:bCs/>
          <w:sz w:val="24"/>
        </w:rPr>
      </w:pPr>
      <w:r>
        <w:rPr>
          <w:rFonts w:ascii="宋体" w:hAnsi="宋体" w:hint="eastAsia"/>
          <w:bCs/>
          <w:sz w:val="24"/>
        </w:rPr>
        <w:t>其它违约责任按《中华人民共和国民法典》处理。</w:t>
      </w:r>
    </w:p>
    <w:p>
      <w:pPr>
        <w:numPr>
          <w:ilvl w:val="0"/>
          <w:numId w:val="63"/>
        </w:numPr>
        <w:autoSpaceDE w:val="0"/>
        <w:autoSpaceDN w:val="0"/>
        <w:adjustRightInd w:val="0"/>
        <w:spacing w:line="360" w:lineRule="auto"/>
        <w:ind w:left="506" w:hanging="441" w:hangingChars="210"/>
        <w:jc w:val="left"/>
        <w:outlineLvl w:val="3"/>
        <w:rPr>
          <w:rFonts w:ascii="宋体" w:hAnsi="宋体"/>
          <w:b/>
          <w:sz w:val="24"/>
        </w:rPr>
      </w:pPr>
      <w:bookmarkStart w:id="127" w:name="_Toc435540767"/>
      <w:r>
        <w:rPr>
          <w:rFonts w:ascii="宋体" w:hAnsi="宋体" w:hint="eastAsia"/>
          <w:b/>
          <w:sz w:val="24"/>
        </w:rPr>
        <w:t>争端的解决</w:t>
      </w:r>
      <w:bookmarkEnd w:id="127"/>
    </w:p>
    <w:p>
      <w:pPr>
        <w:spacing w:line="360" w:lineRule="auto"/>
        <w:ind w:firstLine="420" w:firstLineChars="200"/>
        <w:rPr>
          <w:rFonts w:ascii="宋体" w:hAnsi="宋体"/>
          <w:sz w:val="24"/>
        </w:rPr>
      </w:pPr>
      <w:r>
        <w:rPr>
          <w:rFonts w:ascii="宋体" w:hAnsi="宋体" w:hint="eastAsia"/>
          <w:sz w:val="24"/>
        </w:rPr>
        <w:t>合同执行过程中发生的任何争议，如双方不能通过友好协商解决，甲、乙双方一致同意向甲方所在地人民法院提起诉讼。</w:t>
      </w:r>
    </w:p>
    <w:p>
      <w:pPr>
        <w:numPr>
          <w:ilvl w:val="0"/>
          <w:numId w:val="63"/>
        </w:numPr>
        <w:autoSpaceDE w:val="0"/>
        <w:autoSpaceDN w:val="0"/>
        <w:adjustRightInd w:val="0"/>
        <w:spacing w:line="360" w:lineRule="auto"/>
        <w:ind w:left="506" w:hanging="441" w:hangingChars="210"/>
        <w:jc w:val="left"/>
        <w:outlineLvl w:val="3"/>
        <w:rPr>
          <w:rFonts w:ascii="宋体" w:hAnsi="宋体"/>
          <w:b/>
          <w:sz w:val="24"/>
        </w:rPr>
      </w:pPr>
      <w:bookmarkStart w:id="128" w:name="_Toc435540768"/>
      <w:r>
        <w:rPr>
          <w:rFonts w:ascii="宋体" w:hAnsi="宋体" w:hint="eastAsia"/>
          <w:b/>
          <w:sz w:val="24"/>
        </w:rPr>
        <w:t>不可抗力</w:t>
      </w:r>
      <w:bookmarkEnd w:id="128"/>
    </w:p>
    <w:p>
      <w:pPr>
        <w:spacing w:line="360" w:lineRule="auto"/>
        <w:ind w:firstLine="420" w:firstLineChars="200"/>
        <w:rPr>
          <w:rFonts w:ascii="宋体" w:hAnsi="宋体"/>
          <w:sz w:val="24"/>
        </w:rPr>
      </w:pPr>
      <w:r>
        <w:rPr>
          <w:rFonts w:ascii="宋体" w:hAnsi="宋体" w:hint="eastAsia"/>
          <w:sz w:val="24"/>
        </w:rPr>
        <w:t>任何一方由于不可抗力原因不能履行合同时，应在不可抗力事件结束后1日内向对方通报，以减轻可能给对方造成的损失，在取得有关机构的不可抗力证明或双方谅解确认后，允许延期履行或修订合同，并根据情况可部分或全部免于承担违约责任。</w:t>
      </w:r>
    </w:p>
    <w:p>
      <w:pPr>
        <w:numPr>
          <w:ilvl w:val="0"/>
          <w:numId w:val="63"/>
        </w:numPr>
        <w:autoSpaceDE w:val="0"/>
        <w:autoSpaceDN w:val="0"/>
        <w:adjustRightInd w:val="0"/>
        <w:spacing w:line="360" w:lineRule="auto"/>
        <w:ind w:left="506" w:hanging="441" w:hangingChars="210"/>
        <w:jc w:val="left"/>
        <w:outlineLvl w:val="3"/>
        <w:rPr>
          <w:rFonts w:ascii="宋体" w:hAnsi="宋体"/>
          <w:b/>
          <w:sz w:val="24"/>
        </w:rPr>
      </w:pPr>
      <w:bookmarkStart w:id="129" w:name="_Toc435540769"/>
      <w:r>
        <w:rPr>
          <w:rFonts w:ascii="宋体" w:hAnsi="宋体" w:hint="eastAsia"/>
          <w:b/>
          <w:sz w:val="24"/>
        </w:rPr>
        <w:t>税费</w:t>
      </w:r>
      <w:bookmarkEnd w:id="129"/>
    </w:p>
    <w:p>
      <w:pPr>
        <w:spacing w:line="360" w:lineRule="auto"/>
        <w:ind w:firstLine="420" w:firstLineChars="200"/>
        <w:rPr>
          <w:rFonts w:ascii="宋体" w:hAnsi="宋体"/>
          <w:sz w:val="24"/>
        </w:rPr>
      </w:pPr>
      <w:r>
        <w:rPr>
          <w:rFonts w:ascii="宋体" w:hAnsi="宋体" w:hint="eastAsia"/>
          <w:sz w:val="24"/>
        </w:rPr>
        <w:t>在中国境内、外发生的与本合同执行有关的一切税费均由乙方负担。</w:t>
      </w:r>
    </w:p>
    <w:p>
      <w:pPr>
        <w:numPr>
          <w:ilvl w:val="0"/>
          <w:numId w:val="63"/>
        </w:numPr>
        <w:autoSpaceDE w:val="0"/>
        <w:autoSpaceDN w:val="0"/>
        <w:adjustRightInd w:val="0"/>
        <w:spacing w:line="360" w:lineRule="auto"/>
        <w:ind w:left="506" w:hanging="441" w:hangingChars="210"/>
        <w:jc w:val="left"/>
        <w:outlineLvl w:val="3"/>
        <w:rPr>
          <w:rFonts w:ascii="宋体" w:hAnsi="宋体"/>
          <w:b/>
          <w:sz w:val="24"/>
        </w:rPr>
      </w:pPr>
      <w:bookmarkStart w:id="130" w:name="_Toc435540770"/>
      <w:r>
        <w:rPr>
          <w:rFonts w:ascii="宋体" w:hAnsi="宋体" w:hint="eastAsia"/>
          <w:b/>
          <w:sz w:val="24"/>
        </w:rPr>
        <w:t>其它</w:t>
      </w:r>
      <w:bookmarkEnd w:id="130"/>
    </w:p>
    <w:p>
      <w:pPr>
        <w:pStyle w:val="ListParagraph"/>
        <w:numPr>
          <w:ilvl w:val="0"/>
          <w:numId w:val="70"/>
        </w:numPr>
        <w:tabs>
          <w:tab w:val="left" w:pos="567"/>
        </w:tabs>
        <w:spacing w:line="360" w:lineRule="auto"/>
        <w:ind w:left="567" w:hanging="567" w:firstLineChars="0"/>
        <w:rPr>
          <w:rFonts w:ascii="宋体" w:hAnsi="宋体"/>
          <w:b/>
          <w:sz w:val="24"/>
        </w:rPr>
      </w:pPr>
      <w:r>
        <w:rPr>
          <w:rFonts w:ascii="宋体" w:hAnsi="宋体" w:hint="eastAsia"/>
          <w:sz w:val="24"/>
        </w:rPr>
        <w:t>本合同所有附件、招标文件、投标文件、中标通知书均为合同的有效组成部分，与本合同具有同等法律效力。</w:t>
      </w:r>
    </w:p>
    <w:p>
      <w:pPr>
        <w:pStyle w:val="ListParagraph"/>
        <w:numPr>
          <w:ilvl w:val="0"/>
          <w:numId w:val="70"/>
        </w:numPr>
        <w:tabs>
          <w:tab w:val="left" w:pos="567"/>
        </w:tabs>
        <w:spacing w:line="360" w:lineRule="auto"/>
        <w:ind w:left="567" w:hanging="567" w:firstLineChars="0"/>
        <w:rPr>
          <w:rFonts w:ascii="宋体" w:hAnsi="宋体"/>
          <w:sz w:val="24"/>
        </w:rPr>
      </w:pPr>
      <w:r>
        <w:rPr>
          <w:rFonts w:ascii="宋体" w:hAnsi="宋体" w:hint="eastAsia"/>
          <w:sz w:val="24"/>
        </w:rPr>
        <w:t>在执行本合同的过程中，所有经双方签署确认的文件（包括会议纪要、补充协议、往来信函）即成为本合同的有效组成部分。</w:t>
      </w:r>
    </w:p>
    <w:p>
      <w:pPr>
        <w:pStyle w:val="ListParagraph"/>
        <w:numPr>
          <w:ilvl w:val="0"/>
          <w:numId w:val="70"/>
        </w:numPr>
        <w:tabs>
          <w:tab w:val="left" w:pos="567"/>
        </w:tabs>
        <w:spacing w:line="360" w:lineRule="auto"/>
        <w:ind w:left="567" w:hanging="567" w:firstLineChars="0"/>
        <w:rPr>
          <w:rFonts w:ascii="宋体" w:hAnsi="宋体"/>
          <w:sz w:val="24"/>
        </w:rPr>
      </w:pPr>
      <w:r>
        <w:rPr>
          <w:rFonts w:ascii="宋体" w:hAnsi="宋体" w:hint="eastAsia"/>
          <w:sz w:val="24"/>
        </w:rPr>
        <w:t xml:space="preserve">如一方地址、电话、传真号码有变更，应在变更当日内书面通知对方，否则，应承担相应责任。 </w:t>
      </w:r>
    </w:p>
    <w:p>
      <w:pPr>
        <w:pStyle w:val="ListParagraph"/>
        <w:numPr>
          <w:ilvl w:val="0"/>
          <w:numId w:val="70"/>
        </w:numPr>
        <w:tabs>
          <w:tab w:val="left" w:pos="567"/>
        </w:tabs>
        <w:spacing w:line="360" w:lineRule="auto"/>
        <w:ind w:left="567" w:hanging="567" w:firstLineChars="0"/>
        <w:rPr>
          <w:rFonts w:ascii="宋体" w:hAnsi="宋体"/>
          <w:sz w:val="24"/>
        </w:rPr>
      </w:pPr>
      <w:r>
        <w:rPr>
          <w:rFonts w:ascii="宋体" w:hAnsi="宋体" w:hint="eastAsia"/>
          <w:sz w:val="24"/>
        </w:rPr>
        <w:t>除甲方事先书面同意外，乙方不得部分或全部转让其应履行的合同项下的义务。</w:t>
      </w:r>
    </w:p>
    <w:p>
      <w:pPr>
        <w:numPr>
          <w:ilvl w:val="0"/>
          <w:numId w:val="63"/>
        </w:numPr>
        <w:autoSpaceDE w:val="0"/>
        <w:autoSpaceDN w:val="0"/>
        <w:adjustRightInd w:val="0"/>
        <w:spacing w:line="360" w:lineRule="auto"/>
        <w:ind w:left="506" w:hanging="441" w:hangingChars="210"/>
        <w:jc w:val="left"/>
        <w:outlineLvl w:val="3"/>
        <w:rPr>
          <w:rFonts w:ascii="宋体" w:hAnsi="宋体"/>
          <w:b/>
          <w:sz w:val="24"/>
        </w:rPr>
      </w:pPr>
      <w:bookmarkStart w:id="131" w:name="_Toc435540771"/>
      <w:r>
        <w:rPr>
          <w:rFonts w:ascii="宋体" w:hAnsi="宋体" w:hint="eastAsia"/>
          <w:b/>
          <w:sz w:val="24"/>
        </w:rPr>
        <w:t>合同生效</w:t>
      </w:r>
      <w:bookmarkEnd w:id="131"/>
    </w:p>
    <w:p>
      <w:pPr>
        <w:pStyle w:val="ListParagraph"/>
        <w:numPr>
          <w:ilvl w:val="0"/>
          <w:numId w:val="71"/>
        </w:numPr>
        <w:tabs>
          <w:tab w:val="left" w:pos="567"/>
        </w:tabs>
        <w:spacing w:line="360" w:lineRule="auto"/>
        <w:ind w:firstLineChars="0"/>
        <w:rPr>
          <w:rFonts w:ascii="宋体" w:hAnsi="宋体" w:cs="宋体"/>
          <w:sz w:val="24"/>
        </w:rPr>
      </w:pPr>
      <w:r>
        <w:rPr>
          <w:rFonts w:ascii="宋体" w:hAnsi="宋体" w:cs="宋体" w:hint="eastAsia"/>
          <w:sz w:val="24"/>
        </w:rPr>
        <w:t>合同自甲乙双方法人代表或其授权代表签字盖章之日起生效。</w:t>
      </w:r>
    </w:p>
    <w:p>
      <w:pPr>
        <w:pStyle w:val="ListParagraph"/>
        <w:numPr>
          <w:ilvl w:val="0"/>
          <w:numId w:val="71"/>
        </w:numPr>
        <w:tabs>
          <w:tab w:val="left" w:pos="567"/>
        </w:tabs>
        <w:spacing w:line="360" w:lineRule="auto"/>
        <w:ind w:firstLineChars="0"/>
        <w:rPr>
          <w:rFonts w:ascii="宋体" w:hAnsi="宋体"/>
          <w:sz w:val="24"/>
        </w:rPr>
      </w:pPr>
      <w:r>
        <w:rPr>
          <w:rFonts w:ascii="宋体" w:hAnsi="宋体" w:cs="宋体" w:hint="eastAsia"/>
          <w:sz w:val="24"/>
        </w:rPr>
        <w:t>合同壹式</w:t>
      </w:r>
      <w:r>
        <w:rPr>
          <w:rFonts w:ascii="宋体" w:hAnsi="宋体" w:cs="宋体" w:hint="eastAsia"/>
          <w:sz w:val="24"/>
          <w:u w:val="single"/>
        </w:rPr>
        <w:t xml:space="preserve">  </w:t>
      </w:r>
      <w:r>
        <w:rPr>
          <w:rFonts w:ascii="宋体" w:hAnsi="宋体" w:cs="宋体" w:hint="eastAsia"/>
          <w:sz w:val="24"/>
        </w:rPr>
        <w:t>份，其中甲乙双方各执</w:t>
      </w:r>
      <w:r>
        <w:rPr>
          <w:rFonts w:ascii="宋体" w:hAnsi="宋体" w:cs="宋体" w:hint="eastAsia"/>
          <w:sz w:val="24"/>
          <w:u w:val="single"/>
        </w:rPr>
        <w:t xml:space="preserve">  </w:t>
      </w:r>
      <w:r>
        <w:rPr>
          <w:rFonts w:ascii="宋体" w:hAnsi="宋体" w:cs="宋体" w:hint="eastAsia"/>
          <w:sz w:val="24"/>
        </w:rPr>
        <w:t>份，采购代理机构执壹份，政府采购监督管理部门</w:t>
      </w:r>
      <w:r>
        <w:rPr>
          <w:rFonts w:ascii="宋体" w:hAnsi="宋体" w:cs="宋体" w:hint="eastAsia"/>
          <w:sz w:val="24"/>
          <w:u w:val="single"/>
        </w:rPr>
        <w:t xml:space="preserve"> </w:t>
      </w:r>
      <w:r>
        <w:rPr>
          <w:rFonts w:ascii="宋体" w:hAnsi="宋体" w:cs="宋体" w:hint="eastAsia"/>
          <w:sz w:val="24"/>
        </w:rPr>
        <w:t xml:space="preserve">  份</w:t>
      </w:r>
      <w:r>
        <w:rPr>
          <w:rFonts w:ascii="宋体" w:hAnsi="宋体" w:hint="eastAsia"/>
          <w:sz w:val="24"/>
        </w:rPr>
        <w:t>。</w:t>
      </w:r>
    </w:p>
    <w:p>
      <w:pPr>
        <w:snapToGrid w:val="0"/>
        <w:spacing w:line="360" w:lineRule="auto"/>
        <w:rPr>
          <w:rFonts w:ascii="宋体" w:hAnsi="宋体" w:cs="宋体"/>
          <w:sz w:val="24"/>
        </w:rPr>
      </w:pPr>
      <w:r>
        <w:rPr>
          <w:rFonts w:ascii="宋体" w:hAnsi="宋体" w:cs="宋体" w:hint="eastAsia"/>
          <w:sz w:val="24"/>
        </w:rPr>
        <w:t>甲方（盖章）：                           乙方（盖章）：</w:t>
      </w:r>
    </w:p>
    <w:p>
      <w:pPr>
        <w:snapToGrid w:val="0"/>
        <w:spacing w:line="360" w:lineRule="auto"/>
        <w:rPr>
          <w:rFonts w:ascii="宋体" w:hAnsi="宋体" w:cs="宋体"/>
          <w:sz w:val="24"/>
        </w:rPr>
      </w:pPr>
      <w:r>
        <w:rPr>
          <w:rFonts w:ascii="宋体" w:hAnsi="宋体" w:cs="宋体" w:hint="eastAsia"/>
          <w:sz w:val="24"/>
        </w:rPr>
        <w:t xml:space="preserve">代表：                                  代表： </w:t>
      </w:r>
    </w:p>
    <w:p>
      <w:pPr>
        <w:snapToGrid w:val="0"/>
        <w:spacing w:line="360" w:lineRule="auto"/>
        <w:rPr>
          <w:rFonts w:ascii="宋体" w:hAnsi="宋体" w:cs="宋体"/>
          <w:sz w:val="24"/>
        </w:rPr>
      </w:pPr>
      <w:r>
        <w:rPr>
          <w:rFonts w:ascii="宋体" w:hAnsi="宋体" w:cs="宋体" w:hint="eastAsia"/>
          <w:sz w:val="24"/>
        </w:rPr>
        <w:t>签定地点：</w:t>
      </w:r>
    </w:p>
    <w:p>
      <w:pPr>
        <w:snapToGrid w:val="0"/>
        <w:spacing w:line="360" w:lineRule="auto"/>
        <w:rPr>
          <w:rFonts w:ascii="宋体" w:hAnsi="宋体" w:cs="宋体"/>
          <w:sz w:val="24"/>
        </w:rPr>
      </w:pPr>
      <w:r>
        <w:rPr>
          <w:rFonts w:ascii="宋体" w:hAnsi="宋体" w:cs="宋体" w:hint="eastAsia"/>
          <w:sz w:val="24"/>
        </w:rPr>
        <w:t xml:space="preserve">签定日期：        年     月    日       签定日期：        年     月     日    </w:t>
      </w:r>
    </w:p>
    <w:p>
      <w:pPr>
        <w:snapToGrid w:val="0"/>
        <w:spacing w:line="360" w:lineRule="auto"/>
        <w:ind w:firstLine="4200" w:firstLineChars="2000"/>
        <w:rPr>
          <w:rFonts w:ascii="宋体" w:hAnsi="宋体" w:cs="宋体"/>
          <w:sz w:val="24"/>
        </w:rPr>
      </w:pPr>
      <w:r>
        <w:rPr>
          <w:rFonts w:ascii="宋体" w:hAnsi="宋体" w:cs="宋体" w:hint="eastAsia"/>
          <w:sz w:val="24"/>
        </w:rPr>
        <w:t>开户名称：</w:t>
      </w:r>
    </w:p>
    <w:p>
      <w:pPr>
        <w:snapToGrid w:val="0"/>
        <w:spacing w:line="360" w:lineRule="auto"/>
        <w:ind w:firstLine="4200" w:firstLineChars="2000"/>
        <w:rPr>
          <w:rFonts w:ascii="宋体" w:hAnsi="宋体" w:cs="宋体"/>
          <w:sz w:val="24"/>
        </w:rPr>
      </w:pPr>
      <w:r>
        <w:rPr>
          <w:rFonts w:ascii="宋体" w:hAnsi="宋体" w:cs="宋体" w:hint="eastAsia"/>
          <w:sz w:val="24"/>
        </w:rPr>
        <w:t>银行账号：</w:t>
      </w:r>
    </w:p>
    <w:p>
      <w:pPr>
        <w:snapToGrid w:val="0"/>
        <w:spacing w:line="360" w:lineRule="auto"/>
        <w:ind w:firstLine="4200" w:firstLineChars="2000"/>
        <w:rPr>
          <w:rFonts w:ascii="宋体" w:hAnsi="宋体" w:cs="宋体"/>
          <w:sz w:val="24"/>
        </w:rPr>
      </w:pPr>
      <w:r>
        <w:rPr>
          <w:rFonts w:ascii="宋体" w:hAnsi="宋体" w:cs="宋体" w:hint="eastAsia"/>
          <w:sz w:val="24"/>
        </w:rPr>
        <w:t>开 户 行：</w:t>
      </w:r>
    </w:p>
    <w:p>
      <w:pPr>
        <w:snapToGrid w:val="0"/>
        <w:spacing w:line="360" w:lineRule="auto"/>
        <w:ind w:firstLine="4200" w:firstLineChars="2000"/>
        <w:rPr>
          <w:rFonts w:ascii="宋体" w:hAnsi="宋体"/>
          <w:b/>
          <w:color w:val="FF0000"/>
        </w:rPr>
      </w:pPr>
      <w:r>
        <w:rPr>
          <w:b/>
          <w:bCs/>
          <w:sz w:val="28"/>
          <w:szCs w:val="28"/>
        </w:rPr>
        <w:br w:type="page"/>
      </w:r>
    </w:p>
    <w:p>
      <w:pPr>
        <w:spacing w:before="156" w:beforeLines="50" w:after="156" w:afterLines="50" w:line="360" w:lineRule="auto"/>
        <w:jc w:val="center"/>
        <w:outlineLvl w:val="0"/>
        <w:rPr>
          <w:b/>
          <w:bCs/>
          <w:color w:val="auto"/>
          <w:sz w:val="32"/>
          <w:szCs w:val="32"/>
        </w:rPr>
      </w:pPr>
      <w:bookmarkStart w:id="132" w:name="_Toc435115056"/>
      <w:bookmarkStart w:id="133" w:name="_Toc27304"/>
      <w:bookmarkStart w:id="134" w:name="_Toc435514851"/>
      <w:bookmarkStart w:id="135" w:name="_Toc13067024"/>
      <w:bookmarkStart w:id="136" w:name="_Toc256000021"/>
      <w:r>
        <w:rPr>
          <w:rFonts w:hint="eastAsia"/>
          <w:b/>
          <w:bCs/>
          <w:color w:val="auto"/>
          <w:sz w:val="32"/>
          <w:szCs w:val="32"/>
        </w:rPr>
        <w:t>第六章 投标文件格式</w:t>
      </w:r>
      <w:bookmarkEnd w:id="136"/>
      <w:bookmarkEnd w:id="132"/>
      <w:bookmarkEnd w:id="133"/>
      <w:bookmarkEnd w:id="134"/>
      <w:bookmarkEnd w:id="135"/>
    </w:p>
    <w:p>
      <w:pPr>
        <w:tabs>
          <w:tab w:val="left" w:pos="426"/>
        </w:tabs>
        <w:autoSpaceDE w:val="0"/>
        <w:autoSpaceDN w:val="0"/>
        <w:adjustRightInd w:val="0"/>
        <w:spacing w:line="360" w:lineRule="auto"/>
        <w:ind w:left="505"/>
        <w:jc w:val="center"/>
        <w:outlineLvl w:val="3"/>
        <w:rPr>
          <w:b/>
          <w:color w:val="auto"/>
          <w:sz w:val="32"/>
          <w:szCs w:val="32"/>
        </w:rPr>
      </w:pPr>
      <w:r>
        <w:rPr>
          <w:rFonts w:hint="eastAsia"/>
          <w:b/>
          <w:color w:val="auto"/>
          <w:sz w:val="32"/>
          <w:szCs w:val="32"/>
        </w:rPr>
        <w:t>投标文件正文（信息公开部分）</w:t>
      </w:r>
    </w:p>
    <w:p>
      <w:pPr>
        <w:pStyle w:val="Heading2"/>
        <w:numPr>
          <w:ilvl w:val="0"/>
          <w:numId w:val="72"/>
        </w:numPr>
        <w:spacing w:line="240" w:lineRule="auto"/>
        <w:jc w:val="center"/>
        <w:rPr>
          <w:color w:val="auto"/>
        </w:rPr>
      </w:pPr>
      <w:bookmarkStart w:id="137" w:name="_Toc30664868"/>
      <w:bookmarkStart w:id="138" w:name="_Toc810"/>
      <w:bookmarkStart w:id="139" w:name="_Toc8947"/>
      <w:bookmarkStart w:id="140" w:name="_Toc435514852"/>
      <w:bookmarkStart w:id="141" w:name="_Toc435515292"/>
      <w:bookmarkStart w:id="142" w:name="_Toc256000022"/>
      <w:r>
        <w:rPr>
          <w:rFonts w:hint="eastAsia"/>
          <w:color w:val="auto"/>
        </w:rPr>
        <w:t>投标文件封面参考</w:t>
      </w:r>
      <w:bookmarkEnd w:id="142"/>
      <w:bookmarkEnd w:id="137"/>
      <w:bookmarkEnd w:id="138"/>
      <w:bookmarkEnd w:id="139"/>
      <w:bookmarkEnd w:id="140"/>
      <w:bookmarkEnd w:id="141"/>
    </w:p>
    <w:tbl>
      <w:tblPr>
        <w:tblStyle w:val="TableNormal"/>
        <w:tblW w:w="901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9018"/>
      </w:tblGrid>
      <w:tr>
        <w:tblPrEx>
          <w:tblW w:w="901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10974"/>
        </w:trPr>
        <w:tc>
          <w:tcPr>
            <w:tcW w:w="9018" w:type="dxa"/>
          </w:tcPr>
          <w:p>
            <w:pPr>
              <w:pStyle w:val="BodyText"/>
              <w:spacing w:line="360" w:lineRule="auto"/>
              <w:ind w:firstLine="315" w:firstLineChars="150"/>
              <w:rPr>
                <w:rFonts w:ascii="仿宋_GB2312" w:eastAsia="仿宋_GB2312"/>
                <w:b/>
                <w:color w:val="auto"/>
                <w:sz w:val="32"/>
              </w:rPr>
            </w:pPr>
          </w:p>
          <w:p>
            <w:pPr>
              <w:pStyle w:val="BodyText"/>
              <w:spacing w:line="360" w:lineRule="auto"/>
              <w:ind w:firstLine="315" w:firstLineChars="150"/>
              <w:rPr>
                <w:rFonts w:ascii="仿宋_GB2312" w:eastAsia="仿宋_GB2312"/>
                <w:b/>
                <w:color w:val="auto"/>
                <w:sz w:val="32"/>
              </w:rPr>
            </w:pPr>
          </w:p>
          <w:p>
            <w:pPr>
              <w:pStyle w:val="BodyText"/>
              <w:spacing w:line="360" w:lineRule="auto"/>
              <w:ind w:firstLine="315" w:firstLineChars="150"/>
              <w:rPr>
                <w:rFonts w:ascii="仿宋_GB2312" w:eastAsia="仿宋_GB2312"/>
                <w:b/>
                <w:color w:val="auto"/>
                <w:sz w:val="32"/>
              </w:rPr>
            </w:pPr>
          </w:p>
          <w:p>
            <w:pPr>
              <w:pStyle w:val="BodyText"/>
              <w:spacing w:line="360" w:lineRule="auto"/>
              <w:jc w:val="center"/>
              <w:rPr>
                <w:rFonts w:ascii="黑体" w:eastAsia="黑体"/>
                <w:b/>
                <w:color w:val="auto"/>
                <w:sz w:val="72"/>
                <w:szCs w:val="72"/>
              </w:rPr>
            </w:pPr>
            <w:r>
              <w:rPr>
                <w:rFonts w:ascii="黑体" w:eastAsia="黑体" w:hint="eastAsia"/>
                <w:b/>
                <w:color w:val="auto"/>
                <w:sz w:val="72"/>
                <w:szCs w:val="72"/>
              </w:rPr>
              <w:t>投 标 文 件</w:t>
            </w:r>
          </w:p>
          <w:p>
            <w:pPr>
              <w:pStyle w:val="BodyText"/>
              <w:spacing w:line="360" w:lineRule="auto"/>
              <w:ind w:firstLine="1367" w:firstLineChars="651"/>
              <w:rPr>
                <w:rFonts w:ascii="黑体" w:eastAsia="黑体"/>
                <w:b/>
                <w:color w:val="auto"/>
                <w:sz w:val="52"/>
                <w:szCs w:val="52"/>
              </w:rPr>
            </w:pPr>
          </w:p>
          <w:p>
            <w:pPr>
              <w:pStyle w:val="BodyText"/>
              <w:spacing w:line="360" w:lineRule="auto"/>
              <w:ind w:firstLine="1367" w:firstLineChars="651"/>
              <w:rPr>
                <w:rFonts w:ascii="黑体" w:eastAsia="黑体"/>
                <w:b/>
                <w:color w:val="auto"/>
                <w:sz w:val="32"/>
              </w:rPr>
            </w:pPr>
            <w:r>
              <w:rPr>
                <w:rFonts w:ascii="黑体" w:eastAsia="黑体" w:hint="eastAsia"/>
                <w:b/>
                <w:color w:val="auto"/>
                <w:sz w:val="52"/>
                <w:szCs w:val="52"/>
              </w:rPr>
              <w:t xml:space="preserve">口 </w:t>
            </w:r>
            <w:r>
              <w:rPr>
                <w:rFonts w:ascii="黑体" w:eastAsia="黑体" w:hint="eastAsia"/>
                <w:b/>
                <w:color w:val="auto"/>
                <w:sz w:val="32"/>
              </w:rPr>
              <w:t>正本</w:t>
            </w:r>
          </w:p>
          <w:p>
            <w:pPr>
              <w:pStyle w:val="BodyText"/>
              <w:spacing w:line="360" w:lineRule="auto"/>
              <w:rPr>
                <w:rFonts w:ascii="仿宋_GB2312" w:eastAsia="仿宋_GB2312"/>
                <w:b/>
                <w:color w:val="auto"/>
                <w:sz w:val="32"/>
              </w:rPr>
            </w:pPr>
          </w:p>
          <w:p>
            <w:pPr>
              <w:pStyle w:val="BodyText"/>
              <w:spacing w:line="360" w:lineRule="auto"/>
              <w:rPr>
                <w:rFonts w:ascii="仿宋_GB2312" w:eastAsia="仿宋_GB2312"/>
                <w:b/>
                <w:color w:val="auto"/>
                <w:sz w:val="32"/>
              </w:rPr>
            </w:pPr>
          </w:p>
          <w:p>
            <w:pPr>
              <w:pStyle w:val="BodyText"/>
              <w:spacing w:line="360" w:lineRule="auto"/>
              <w:rPr>
                <w:rFonts w:ascii="仿宋_GB2312" w:eastAsia="仿宋_GB2312"/>
                <w:b/>
                <w:color w:val="auto"/>
                <w:sz w:val="32"/>
              </w:rPr>
            </w:pPr>
          </w:p>
          <w:p>
            <w:pPr>
              <w:pStyle w:val="BodyText"/>
              <w:spacing w:line="400" w:lineRule="exact"/>
              <w:ind w:firstLine="672" w:firstLineChars="320"/>
              <w:rPr>
                <w:rFonts w:ascii="仿宋_GB2312" w:eastAsia="仿宋_GB2312" w:hint="eastAsia"/>
                <w:b/>
                <w:color w:val="auto"/>
                <w:sz w:val="32"/>
                <w:szCs w:val="32"/>
                <w:lang w:eastAsia="zh-CN"/>
              </w:rPr>
            </w:pPr>
            <w:r>
              <w:rPr>
                <w:rFonts w:ascii="仿宋_GB2312" w:eastAsia="仿宋_GB2312" w:hint="eastAsia"/>
                <w:b/>
                <w:color w:val="auto"/>
                <w:sz w:val="32"/>
                <w:szCs w:val="32"/>
              </w:rPr>
              <w:t>项目编号：</w:t>
            </w:r>
            <w:r>
              <w:rPr>
                <w:rFonts w:ascii="仿宋_GB2312" w:eastAsia="仿宋_GB2312" w:hint="eastAsia"/>
                <w:b/>
                <w:color w:val="auto"/>
                <w:sz w:val="32"/>
                <w:szCs w:val="32"/>
                <w:lang w:eastAsia="zh-CN"/>
              </w:rPr>
              <w:t>SZDL2022002374（CLF0122SZ17ZC77）</w:t>
            </w:r>
          </w:p>
          <w:p>
            <w:pPr>
              <w:pStyle w:val="BodyText"/>
              <w:spacing w:line="400" w:lineRule="exact"/>
              <w:ind w:firstLine="672" w:firstLineChars="320"/>
              <w:rPr>
                <w:rFonts w:ascii="仿宋_GB2312" w:eastAsia="仿宋_GB2312" w:hint="eastAsia"/>
                <w:b/>
                <w:color w:val="auto"/>
                <w:sz w:val="32"/>
                <w:szCs w:val="32"/>
                <w:lang w:eastAsia="zh-CN"/>
              </w:rPr>
            </w:pPr>
            <w:r>
              <w:rPr>
                <w:rFonts w:ascii="仿宋_GB2312" w:eastAsia="仿宋_GB2312" w:hint="eastAsia"/>
                <w:b/>
                <w:color w:val="auto"/>
                <w:sz w:val="32"/>
                <w:szCs w:val="32"/>
              </w:rPr>
              <w:t>项目名称：</w:t>
            </w:r>
            <w:r>
              <w:rPr>
                <w:rFonts w:ascii="仿宋_GB2312" w:eastAsia="仿宋_GB2312" w:hint="eastAsia"/>
                <w:b/>
                <w:color w:val="auto"/>
                <w:sz w:val="32"/>
                <w:szCs w:val="32"/>
                <w:lang w:eastAsia="zh-CN"/>
              </w:rPr>
              <w:t>2023-2024年基准年碳核查全流程技术</w:t>
            </w:r>
          </w:p>
          <w:p>
            <w:pPr>
              <w:pStyle w:val="BodyText"/>
              <w:spacing w:line="400" w:lineRule="exact"/>
              <w:ind w:firstLine="1720" w:firstLineChars="819"/>
              <w:rPr>
                <w:rFonts w:ascii="仿宋_GB2312" w:eastAsia="仿宋_GB2312" w:hint="eastAsia"/>
                <w:b/>
                <w:bCs/>
                <w:color w:val="auto"/>
                <w:sz w:val="32"/>
                <w:szCs w:val="32"/>
                <w:lang w:eastAsia="zh-CN"/>
              </w:rPr>
            </w:pPr>
            <w:r>
              <w:rPr>
                <w:rFonts w:ascii="仿宋_GB2312" w:eastAsia="仿宋_GB2312" w:hint="eastAsia"/>
                <w:b/>
                <w:color w:val="auto"/>
                <w:sz w:val="32"/>
                <w:szCs w:val="32"/>
                <w:lang w:eastAsia="zh-CN"/>
              </w:rPr>
              <w:t>支持服务</w:t>
            </w:r>
          </w:p>
          <w:p>
            <w:pPr>
              <w:pStyle w:val="BodyText"/>
              <w:spacing w:line="400" w:lineRule="exact"/>
              <w:ind w:firstLine="672" w:firstLineChars="320"/>
              <w:rPr>
                <w:rFonts w:ascii="仿宋_GB2312" w:eastAsia="仿宋_GB2312"/>
                <w:b/>
                <w:color w:val="auto"/>
                <w:sz w:val="32"/>
                <w:szCs w:val="32"/>
              </w:rPr>
            </w:pPr>
            <w:r>
              <w:rPr>
                <w:rFonts w:ascii="仿宋_GB2312" w:eastAsia="仿宋_GB2312" w:hint="eastAsia"/>
                <w:b/>
                <w:color w:val="auto"/>
                <w:sz w:val="32"/>
                <w:szCs w:val="32"/>
              </w:rPr>
              <w:t>投标人名称：</w:t>
            </w:r>
          </w:p>
          <w:p>
            <w:pPr>
              <w:pStyle w:val="BodyText"/>
              <w:spacing w:line="400" w:lineRule="exact"/>
              <w:ind w:firstLine="672" w:firstLineChars="320"/>
              <w:rPr>
                <w:rFonts w:ascii="仿宋_GB2312" w:eastAsia="仿宋_GB2312"/>
                <w:b/>
                <w:color w:val="auto"/>
                <w:sz w:val="32"/>
                <w:szCs w:val="32"/>
              </w:rPr>
            </w:pPr>
            <w:r>
              <w:rPr>
                <w:rFonts w:ascii="仿宋_GB2312" w:eastAsia="仿宋_GB2312" w:hint="eastAsia"/>
                <w:b/>
                <w:color w:val="auto"/>
                <w:sz w:val="32"/>
                <w:szCs w:val="32"/>
              </w:rPr>
              <w:t>投标人地址：</w:t>
            </w:r>
          </w:p>
          <w:p>
            <w:pPr>
              <w:tabs>
                <w:tab w:val="left" w:pos="851"/>
              </w:tabs>
              <w:autoSpaceDE w:val="0"/>
              <w:autoSpaceDN w:val="0"/>
              <w:adjustRightInd w:val="0"/>
              <w:snapToGrid w:val="0"/>
              <w:spacing w:line="420" w:lineRule="auto"/>
              <w:ind w:firstLine="620" w:firstLineChars="295"/>
              <w:rPr>
                <w:rFonts w:ascii="仿宋_GB2312" w:eastAsia="仿宋_GB2312"/>
                <w:b/>
                <w:color w:val="auto"/>
                <w:sz w:val="32"/>
              </w:rPr>
            </w:pPr>
          </w:p>
        </w:tc>
      </w:tr>
    </w:tbl>
    <w:p>
      <w:pPr>
        <w:pStyle w:val="Heading2"/>
        <w:numPr>
          <w:ilvl w:val="0"/>
          <w:numId w:val="72"/>
        </w:numPr>
        <w:spacing w:line="240" w:lineRule="auto"/>
        <w:jc w:val="center"/>
        <w:rPr>
          <w:b w:val="0"/>
        </w:rPr>
      </w:pPr>
      <w:bookmarkStart w:id="143" w:name="_Toc31717"/>
      <w:bookmarkStart w:id="144" w:name="_Toc30664869"/>
      <w:bookmarkStart w:id="145" w:name="_Toc9395"/>
      <w:bookmarkStart w:id="146" w:name="_Toc435514865"/>
      <w:bookmarkStart w:id="147" w:name="_Toc435515305"/>
      <w:bookmarkStart w:id="148" w:name="_Toc256000023"/>
      <w:r>
        <w:rPr>
          <w:rFonts w:hint="eastAsia"/>
          <w:b w:val="0"/>
        </w:rPr>
        <w:t>营业执照等资质证明文件</w:t>
      </w:r>
      <w:bookmarkEnd w:id="148"/>
      <w:bookmarkEnd w:id="143"/>
      <w:bookmarkEnd w:id="144"/>
      <w:bookmarkEnd w:id="145"/>
    </w:p>
    <w:p>
      <w:r>
        <w:rPr>
          <w:rFonts w:hint="eastAsia"/>
        </w:rPr>
        <w:br w:type="page"/>
      </w:r>
    </w:p>
    <w:p>
      <w:pPr>
        <w:pStyle w:val="Heading2"/>
        <w:numPr>
          <w:ilvl w:val="0"/>
          <w:numId w:val="72"/>
        </w:numPr>
        <w:spacing w:line="240" w:lineRule="auto"/>
        <w:jc w:val="center"/>
        <w:rPr>
          <w:b w:val="0"/>
        </w:rPr>
      </w:pPr>
      <w:bookmarkEnd w:id="146"/>
      <w:bookmarkEnd w:id="147"/>
      <w:bookmarkStart w:id="149" w:name="_Toc708"/>
      <w:bookmarkStart w:id="150" w:name="_Toc30664871"/>
      <w:bookmarkStart w:id="151" w:name="_Toc275865611"/>
      <w:bookmarkStart w:id="152" w:name="_Toc435514866"/>
      <w:bookmarkStart w:id="153" w:name="_Toc435515306"/>
      <w:bookmarkStart w:id="154" w:name="_Toc18133"/>
      <w:bookmarkStart w:id="155" w:name="_Toc192662843"/>
      <w:bookmarkStart w:id="156" w:name="_Toc30664872"/>
      <w:bookmarkStart w:id="157" w:name="_Toc5066"/>
      <w:bookmarkStart w:id="158" w:name="_Toc435515294"/>
      <w:bookmarkStart w:id="159" w:name="_Toc275865605"/>
      <w:bookmarkStart w:id="160" w:name="_Toc435514854"/>
      <w:bookmarkStart w:id="161" w:name="_Toc256000024"/>
      <w:r>
        <w:rPr>
          <w:rFonts w:hint="eastAsia"/>
          <w:b w:val="0"/>
        </w:rPr>
        <w:t>投标分项报价表</w:t>
      </w:r>
      <w:bookmarkEnd w:id="161"/>
      <w:bookmarkEnd w:id="149"/>
      <w:bookmarkEnd w:id="150"/>
      <w:bookmarkEnd w:id="151"/>
      <w:bookmarkEnd w:id="152"/>
      <w:bookmarkEnd w:id="153"/>
      <w:bookmarkEnd w:id="154"/>
      <w:bookmarkEnd w:id="155"/>
    </w:p>
    <w:p>
      <w:pPr>
        <w:widowControl/>
        <w:wordWrap w:val="0"/>
        <w:spacing w:line="360" w:lineRule="auto"/>
        <w:jc w:val="left"/>
        <w:rPr>
          <w:color w:val="auto"/>
          <w:spacing w:val="4"/>
          <w:sz w:val="24"/>
          <w:highlight w:val="none"/>
        </w:rPr>
      </w:pPr>
      <w:r>
        <w:rPr>
          <w:rFonts w:ascii="宋体" w:hAnsi="宋体" w:hint="eastAsia"/>
          <w:sz w:val="24"/>
        </w:rPr>
        <w:t xml:space="preserve">投标人名称：       </w:t>
      </w:r>
      <w:r>
        <w:rPr>
          <w:rFonts w:ascii="宋体" w:hAnsi="宋体" w:hint="eastAsia"/>
          <w:color w:val="auto"/>
          <w:sz w:val="24"/>
          <w:highlight w:val="none"/>
        </w:rPr>
        <w:t xml:space="preserve">                项目编号：</w:t>
      </w:r>
      <w:r>
        <w:rPr>
          <w:rFonts w:ascii="宋体" w:hAnsi="宋体" w:hint="eastAsia"/>
          <w:color w:val="auto"/>
          <w:sz w:val="24"/>
          <w:highlight w:val="none"/>
          <w:lang w:eastAsia="zh-CN"/>
        </w:rPr>
        <w:t>SZDL2022002374（CLF0122SZ17ZC77）</w:t>
      </w:r>
      <w:r>
        <w:rPr>
          <w:rFonts w:ascii="ˎ̥" w:hAnsi="ˎ̥" w:cs="宋体"/>
          <w:color w:val="auto"/>
          <w:kern w:val="0"/>
          <w:sz w:val="24"/>
          <w:highlight w:val="none"/>
        </w:rPr>
        <w:t> </w:t>
      </w:r>
    </w:p>
    <w:tbl>
      <w:tblPr>
        <w:tblStyle w:val="TableNormal"/>
        <w:tblpPr w:leftFromText="180" w:rightFromText="180" w:vertAnchor="text" w:tblpY="1"/>
        <w:tblOverlap w:val="never"/>
        <w:tblW w:w="10010" w:type="dxa"/>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0" w:type="dxa"/>
          <w:left w:w="108" w:type="dxa"/>
          <w:bottom w:w="0" w:type="dxa"/>
          <w:right w:w="108" w:type="dxa"/>
        </w:tblCellMar>
      </w:tblPr>
      <w:tblGrid>
        <w:gridCol w:w="1101"/>
        <w:gridCol w:w="2017"/>
        <w:gridCol w:w="1657"/>
        <w:gridCol w:w="1195"/>
        <w:gridCol w:w="1017"/>
        <w:gridCol w:w="1289"/>
        <w:gridCol w:w="1019"/>
        <w:gridCol w:w="715"/>
      </w:tblGrid>
      <w:tr>
        <w:tblPrEx>
          <w:tblW w:w="10010" w:type="dxa"/>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0" w:type="dxa"/>
            <w:left w:w="108" w:type="dxa"/>
            <w:bottom w:w="0" w:type="dxa"/>
            <w:right w:w="108" w:type="dxa"/>
          </w:tblCellMar>
        </w:tblPrEx>
        <w:trPr>
          <w:cantSplit/>
          <w:trHeight w:val="703"/>
        </w:trPr>
        <w:tc>
          <w:tcPr>
            <w:tcW w:w="1101" w:type="dxa"/>
            <w:vAlign w:val="center"/>
          </w:tcPr>
          <w:p>
            <w:pPr>
              <w:jc w:val="center"/>
              <w:rPr>
                <w:rFonts w:ascii="宋体" w:hAnsi="宋体"/>
                <w:color w:val="auto"/>
                <w:sz w:val="24"/>
                <w:highlight w:val="none"/>
              </w:rPr>
            </w:pPr>
            <w:r>
              <w:rPr>
                <w:rFonts w:ascii="宋体" w:hAnsi="宋体" w:hint="eastAsia"/>
                <w:color w:val="auto"/>
                <w:sz w:val="24"/>
                <w:highlight w:val="none"/>
              </w:rPr>
              <w:t>序号</w:t>
            </w:r>
          </w:p>
        </w:tc>
        <w:tc>
          <w:tcPr>
            <w:tcW w:w="2017" w:type="dxa"/>
            <w:vAlign w:val="center"/>
          </w:tcPr>
          <w:p>
            <w:pPr>
              <w:jc w:val="center"/>
              <w:rPr>
                <w:rFonts w:ascii="宋体" w:hAnsi="宋体"/>
                <w:color w:val="auto"/>
                <w:sz w:val="24"/>
                <w:highlight w:val="none"/>
              </w:rPr>
            </w:pPr>
            <w:r>
              <w:rPr>
                <w:rFonts w:ascii="宋体" w:hAnsi="宋体" w:hint="eastAsia"/>
                <w:color w:val="auto"/>
                <w:sz w:val="24"/>
                <w:highlight w:val="none"/>
              </w:rPr>
              <w:t>服务内容</w:t>
            </w:r>
          </w:p>
        </w:tc>
        <w:tc>
          <w:tcPr>
            <w:tcW w:w="1657" w:type="dxa"/>
            <w:vAlign w:val="center"/>
          </w:tcPr>
          <w:p>
            <w:pPr>
              <w:jc w:val="center"/>
              <w:rPr>
                <w:rFonts w:ascii="宋体" w:hAnsi="宋体"/>
                <w:color w:val="auto"/>
                <w:sz w:val="24"/>
                <w:highlight w:val="none"/>
              </w:rPr>
            </w:pPr>
            <w:r>
              <w:rPr>
                <w:rFonts w:ascii="宋体" w:hAnsi="宋体" w:hint="eastAsia"/>
                <w:color w:val="auto"/>
                <w:sz w:val="24"/>
                <w:highlight w:val="none"/>
              </w:rPr>
              <w:t>是否本国产品</w:t>
            </w:r>
          </w:p>
          <w:p>
            <w:pPr>
              <w:jc w:val="center"/>
              <w:rPr>
                <w:rFonts w:ascii="宋体" w:hAnsi="宋体"/>
                <w:color w:val="auto"/>
                <w:sz w:val="24"/>
                <w:highlight w:val="none"/>
              </w:rPr>
            </w:pPr>
            <w:r>
              <w:rPr>
                <w:rFonts w:ascii="宋体" w:hAnsi="宋体" w:cs="宋体" w:hint="eastAsia"/>
                <w:bCs/>
                <w:color w:val="auto"/>
                <w:sz w:val="24"/>
                <w:highlight w:val="none"/>
              </w:rPr>
              <w:t>（本项目采购本国</w:t>
            </w:r>
            <w:r>
              <w:rPr>
                <w:rFonts w:ascii="宋体" w:hint="eastAsia"/>
                <w:bCs/>
                <w:color w:val="auto"/>
                <w:sz w:val="24"/>
                <w:highlight w:val="none"/>
              </w:rPr>
              <w:t>产品/服务(不允许进口产品/服务参加)</w:t>
            </w:r>
            <w:r>
              <w:rPr>
                <w:rFonts w:ascii="宋体" w:hAnsi="宋体" w:cs="宋体" w:hint="eastAsia"/>
                <w:bCs/>
                <w:color w:val="auto"/>
                <w:sz w:val="24"/>
                <w:highlight w:val="none"/>
              </w:rPr>
              <w:t>）</w:t>
            </w:r>
          </w:p>
        </w:tc>
        <w:tc>
          <w:tcPr>
            <w:tcW w:w="1195" w:type="dxa"/>
            <w:vAlign w:val="center"/>
          </w:tcPr>
          <w:p>
            <w:pPr>
              <w:jc w:val="center"/>
              <w:rPr>
                <w:rFonts w:ascii="宋体" w:hAnsi="宋体"/>
                <w:bCs/>
                <w:color w:val="auto"/>
                <w:sz w:val="24"/>
                <w:highlight w:val="none"/>
              </w:rPr>
            </w:pPr>
            <w:r>
              <w:rPr>
                <w:rFonts w:ascii="宋体" w:hAnsi="宋体" w:hint="eastAsia"/>
                <w:bCs/>
                <w:color w:val="auto"/>
                <w:sz w:val="24"/>
                <w:highlight w:val="none"/>
              </w:rPr>
              <w:t>单位</w:t>
            </w:r>
          </w:p>
        </w:tc>
        <w:tc>
          <w:tcPr>
            <w:tcW w:w="1017" w:type="dxa"/>
            <w:vAlign w:val="center"/>
          </w:tcPr>
          <w:p>
            <w:pPr>
              <w:jc w:val="center"/>
              <w:rPr>
                <w:rFonts w:ascii="宋体" w:hAnsi="宋体"/>
                <w:bCs/>
                <w:color w:val="auto"/>
                <w:sz w:val="24"/>
                <w:highlight w:val="none"/>
              </w:rPr>
            </w:pPr>
            <w:r>
              <w:rPr>
                <w:rFonts w:ascii="宋体" w:hAnsi="宋体" w:hint="eastAsia"/>
                <w:bCs/>
                <w:color w:val="auto"/>
                <w:sz w:val="24"/>
                <w:highlight w:val="none"/>
              </w:rPr>
              <w:t>数量</w:t>
            </w:r>
          </w:p>
        </w:tc>
        <w:tc>
          <w:tcPr>
            <w:tcW w:w="1289" w:type="dxa"/>
            <w:vAlign w:val="center"/>
          </w:tcPr>
          <w:p>
            <w:pPr>
              <w:jc w:val="center"/>
              <w:rPr>
                <w:rFonts w:ascii="宋体" w:hAnsi="宋体"/>
                <w:color w:val="auto"/>
                <w:sz w:val="24"/>
                <w:highlight w:val="none"/>
              </w:rPr>
            </w:pPr>
            <w:r>
              <w:rPr>
                <w:rFonts w:ascii="宋体" w:hAnsi="宋体" w:hint="eastAsia"/>
                <w:color w:val="auto"/>
                <w:sz w:val="24"/>
                <w:highlight w:val="none"/>
              </w:rPr>
              <w:t>单价</w:t>
            </w:r>
          </w:p>
        </w:tc>
        <w:tc>
          <w:tcPr>
            <w:tcW w:w="1019" w:type="dxa"/>
            <w:vAlign w:val="center"/>
          </w:tcPr>
          <w:p>
            <w:pPr>
              <w:ind w:left="-92" w:leftChars="-44"/>
              <w:jc w:val="center"/>
              <w:rPr>
                <w:rFonts w:ascii="宋体" w:hAnsi="宋体"/>
                <w:color w:val="auto"/>
                <w:sz w:val="24"/>
                <w:highlight w:val="none"/>
              </w:rPr>
            </w:pPr>
            <w:r>
              <w:rPr>
                <w:rFonts w:ascii="宋体" w:hAnsi="宋体" w:hint="eastAsia"/>
                <w:color w:val="auto"/>
                <w:sz w:val="24"/>
                <w:highlight w:val="none"/>
              </w:rPr>
              <w:t>合计（元）</w:t>
            </w:r>
          </w:p>
        </w:tc>
        <w:tc>
          <w:tcPr>
            <w:tcW w:w="715" w:type="dxa"/>
            <w:vAlign w:val="center"/>
          </w:tcPr>
          <w:p>
            <w:pPr>
              <w:ind w:left="-92" w:leftChars="-44"/>
              <w:jc w:val="center"/>
              <w:rPr>
                <w:rFonts w:ascii="宋体" w:hAnsi="宋体"/>
                <w:color w:val="auto"/>
                <w:sz w:val="24"/>
                <w:highlight w:val="none"/>
              </w:rPr>
            </w:pPr>
            <w:r>
              <w:rPr>
                <w:rFonts w:ascii="宋体" w:hAnsi="宋体"/>
                <w:color w:val="auto"/>
                <w:sz w:val="24"/>
                <w:highlight w:val="none"/>
              </w:rPr>
              <w:t>备注</w:t>
            </w:r>
          </w:p>
        </w:tc>
      </w:tr>
      <w:tr>
        <w:tblPrEx>
          <w:tblW w:w="10010" w:type="dxa"/>
          <w:tblInd w:w="0" w:type="dxa"/>
          <w:tblLayout w:type="fixed"/>
          <w:tblCellMar>
            <w:top w:w="0" w:type="dxa"/>
            <w:left w:w="108" w:type="dxa"/>
            <w:bottom w:w="0" w:type="dxa"/>
            <w:right w:w="108" w:type="dxa"/>
          </w:tblCellMar>
        </w:tblPrEx>
        <w:trPr>
          <w:cantSplit/>
          <w:trHeight w:val="703"/>
        </w:trPr>
        <w:tc>
          <w:tcPr>
            <w:tcW w:w="1101" w:type="dxa"/>
            <w:vAlign w:val="center"/>
          </w:tcPr>
          <w:p>
            <w:pPr>
              <w:jc w:val="center"/>
              <w:rPr>
                <w:rFonts w:ascii="宋体" w:hAnsi="宋体"/>
                <w:sz w:val="24"/>
              </w:rPr>
            </w:pPr>
            <w:r>
              <w:rPr>
                <w:rFonts w:ascii="宋体" w:hAnsi="宋体" w:hint="eastAsia"/>
                <w:sz w:val="24"/>
              </w:rPr>
              <w:t>1</w:t>
            </w:r>
          </w:p>
        </w:tc>
        <w:tc>
          <w:tcPr>
            <w:tcW w:w="2017" w:type="dxa"/>
            <w:vAlign w:val="center"/>
          </w:tcPr>
          <w:p>
            <w:pPr>
              <w:jc w:val="center"/>
              <w:rPr>
                <w:rFonts w:ascii="宋体" w:hAnsi="宋体"/>
                <w:sz w:val="24"/>
              </w:rPr>
            </w:pPr>
          </w:p>
        </w:tc>
        <w:tc>
          <w:tcPr>
            <w:tcW w:w="1657" w:type="dxa"/>
            <w:vAlign w:val="center"/>
          </w:tcPr>
          <w:p>
            <w:pPr>
              <w:jc w:val="center"/>
              <w:rPr>
                <w:rFonts w:ascii="宋体" w:hAnsi="宋体"/>
                <w:sz w:val="24"/>
              </w:rPr>
            </w:pPr>
          </w:p>
        </w:tc>
        <w:tc>
          <w:tcPr>
            <w:tcW w:w="1195" w:type="dxa"/>
            <w:vAlign w:val="center"/>
          </w:tcPr>
          <w:p>
            <w:pPr>
              <w:jc w:val="center"/>
              <w:rPr>
                <w:rFonts w:ascii="宋体" w:hAnsi="宋体"/>
                <w:bCs/>
                <w:sz w:val="24"/>
              </w:rPr>
            </w:pPr>
          </w:p>
        </w:tc>
        <w:tc>
          <w:tcPr>
            <w:tcW w:w="1017" w:type="dxa"/>
            <w:vAlign w:val="center"/>
          </w:tcPr>
          <w:p>
            <w:pPr>
              <w:jc w:val="center"/>
              <w:rPr>
                <w:rFonts w:ascii="宋体" w:hAnsi="宋体"/>
                <w:bCs/>
                <w:sz w:val="24"/>
              </w:rPr>
            </w:pPr>
          </w:p>
        </w:tc>
        <w:tc>
          <w:tcPr>
            <w:tcW w:w="1289" w:type="dxa"/>
            <w:vAlign w:val="center"/>
          </w:tcPr>
          <w:p>
            <w:pPr>
              <w:jc w:val="center"/>
              <w:rPr>
                <w:rFonts w:ascii="宋体" w:hAnsi="宋体"/>
                <w:sz w:val="24"/>
              </w:rPr>
            </w:pPr>
          </w:p>
        </w:tc>
        <w:tc>
          <w:tcPr>
            <w:tcW w:w="1019" w:type="dxa"/>
            <w:vAlign w:val="center"/>
          </w:tcPr>
          <w:p>
            <w:pPr>
              <w:ind w:left="-92" w:leftChars="-44"/>
              <w:jc w:val="center"/>
              <w:rPr>
                <w:rFonts w:ascii="宋体" w:hAnsi="宋体"/>
                <w:sz w:val="24"/>
              </w:rPr>
            </w:pPr>
          </w:p>
        </w:tc>
        <w:tc>
          <w:tcPr>
            <w:tcW w:w="715" w:type="dxa"/>
            <w:vAlign w:val="center"/>
          </w:tcPr>
          <w:p>
            <w:pPr>
              <w:ind w:left="-92" w:leftChars="-44"/>
              <w:jc w:val="center"/>
              <w:rPr>
                <w:rFonts w:ascii="宋体" w:hAnsi="宋体"/>
                <w:sz w:val="24"/>
              </w:rPr>
            </w:pPr>
          </w:p>
        </w:tc>
      </w:tr>
      <w:tr>
        <w:tblPrEx>
          <w:tblW w:w="10010" w:type="dxa"/>
          <w:tblInd w:w="0" w:type="dxa"/>
          <w:tblLayout w:type="fixed"/>
          <w:tblCellMar>
            <w:top w:w="0" w:type="dxa"/>
            <w:left w:w="108" w:type="dxa"/>
            <w:bottom w:w="0" w:type="dxa"/>
            <w:right w:w="108" w:type="dxa"/>
          </w:tblCellMar>
        </w:tblPrEx>
        <w:trPr>
          <w:cantSplit/>
          <w:trHeight w:val="703"/>
        </w:trPr>
        <w:tc>
          <w:tcPr>
            <w:tcW w:w="1101" w:type="dxa"/>
            <w:vAlign w:val="center"/>
          </w:tcPr>
          <w:p>
            <w:pPr>
              <w:jc w:val="center"/>
              <w:rPr>
                <w:rFonts w:ascii="宋体" w:hAnsi="宋体"/>
                <w:sz w:val="24"/>
              </w:rPr>
            </w:pPr>
            <w:r>
              <w:rPr>
                <w:rFonts w:ascii="宋体" w:hAnsi="宋体" w:hint="eastAsia"/>
                <w:sz w:val="24"/>
              </w:rPr>
              <w:t>2</w:t>
            </w:r>
          </w:p>
        </w:tc>
        <w:tc>
          <w:tcPr>
            <w:tcW w:w="2017" w:type="dxa"/>
            <w:vAlign w:val="center"/>
          </w:tcPr>
          <w:p>
            <w:pPr>
              <w:jc w:val="center"/>
              <w:rPr>
                <w:rFonts w:ascii="宋体" w:hAnsi="宋体"/>
                <w:sz w:val="24"/>
              </w:rPr>
            </w:pPr>
          </w:p>
        </w:tc>
        <w:tc>
          <w:tcPr>
            <w:tcW w:w="1657" w:type="dxa"/>
            <w:vAlign w:val="center"/>
          </w:tcPr>
          <w:p>
            <w:pPr>
              <w:jc w:val="center"/>
              <w:rPr>
                <w:rFonts w:ascii="宋体" w:hAnsi="宋体"/>
                <w:sz w:val="24"/>
              </w:rPr>
            </w:pPr>
          </w:p>
        </w:tc>
        <w:tc>
          <w:tcPr>
            <w:tcW w:w="1195" w:type="dxa"/>
            <w:vAlign w:val="center"/>
          </w:tcPr>
          <w:p>
            <w:pPr>
              <w:jc w:val="center"/>
              <w:rPr>
                <w:rFonts w:ascii="宋体" w:hAnsi="宋体"/>
                <w:bCs/>
                <w:sz w:val="24"/>
              </w:rPr>
            </w:pPr>
          </w:p>
        </w:tc>
        <w:tc>
          <w:tcPr>
            <w:tcW w:w="1017" w:type="dxa"/>
            <w:vAlign w:val="center"/>
          </w:tcPr>
          <w:p>
            <w:pPr>
              <w:jc w:val="center"/>
              <w:rPr>
                <w:rFonts w:ascii="宋体" w:hAnsi="宋体"/>
                <w:bCs/>
                <w:sz w:val="24"/>
              </w:rPr>
            </w:pPr>
          </w:p>
        </w:tc>
        <w:tc>
          <w:tcPr>
            <w:tcW w:w="1289" w:type="dxa"/>
            <w:vAlign w:val="center"/>
          </w:tcPr>
          <w:p>
            <w:pPr>
              <w:jc w:val="center"/>
              <w:rPr>
                <w:rFonts w:ascii="宋体" w:hAnsi="宋体"/>
                <w:sz w:val="24"/>
              </w:rPr>
            </w:pPr>
          </w:p>
        </w:tc>
        <w:tc>
          <w:tcPr>
            <w:tcW w:w="1019" w:type="dxa"/>
            <w:vAlign w:val="center"/>
          </w:tcPr>
          <w:p>
            <w:pPr>
              <w:ind w:left="-92" w:leftChars="-44"/>
              <w:jc w:val="center"/>
              <w:rPr>
                <w:rFonts w:ascii="宋体" w:hAnsi="宋体"/>
                <w:sz w:val="24"/>
              </w:rPr>
            </w:pPr>
          </w:p>
        </w:tc>
        <w:tc>
          <w:tcPr>
            <w:tcW w:w="715" w:type="dxa"/>
            <w:vAlign w:val="center"/>
          </w:tcPr>
          <w:p>
            <w:pPr>
              <w:ind w:left="-92" w:leftChars="-44"/>
              <w:jc w:val="center"/>
              <w:rPr>
                <w:rFonts w:ascii="宋体" w:hAnsi="宋体"/>
                <w:sz w:val="24"/>
              </w:rPr>
            </w:pPr>
          </w:p>
        </w:tc>
      </w:tr>
      <w:tr>
        <w:tblPrEx>
          <w:tblW w:w="10010" w:type="dxa"/>
          <w:tblInd w:w="0" w:type="dxa"/>
          <w:tblLayout w:type="fixed"/>
          <w:tblCellMar>
            <w:top w:w="0" w:type="dxa"/>
            <w:left w:w="108" w:type="dxa"/>
            <w:bottom w:w="0" w:type="dxa"/>
            <w:right w:w="108" w:type="dxa"/>
          </w:tblCellMar>
        </w:tblPrEx>
        <w:trPr>
          <w:cantSplit/>
          <w:trHeight w:val="703"/>
        </w:trPr>
        <w:tc>
          <w:tcPr>
            <w:tcW w:w="1101" w:type="dxa"/>
            <w:vAlign w:val="center"/>
          </w:tcPr>
          <w:p>
            <w:pPr>
              <w:jc w:val="center"/>
              <w:rPr>
                <w:rFonts w:ascii="宋体" w:hAnsi="宋体"/>
                <w:sz w:val="24"/>
              </w:rPr>
            </w:pPr>
            <w:r>
              <w:rPr>
                <w:rFonts w:ascii="宋体" w:hAnsi="宋体"/>
                <w:sz w:val="24"/>
              </w:rPr>
              <w:t>……</w:t>
            </w:r>
          </w:p>
        </w:tc>
        <w:tc>
          <w:tcPr>
            <w:tcW w:w="2017" w:type="dxa"/>
            <w:vAlign w:val="center"/>
          </w:tcPr>
          <w:p>
            <w:pPr>
              <w:jc w:val="center"/>
              <w:rPr>
                <w:rFonts w:ascii="宋体" w:hAnsi="宋体"/>
                <w:sz w:val="24"/>
              </w:rPr>
            </w:pPr>
          </w:p>
        </w:tc>
        <w:tc>
          <w:tcPr>
            <w:tcW w:w="1657" w:type="dxa"/>
            <w:vAlign w:val="center"/>
          </w:tcPr>
          <w:p>
            <w:pPr>
              <w:jc w:val="center"/>
              <w:rPr>
                <w:rFonts w:ascii="宋体" w:hAnsi="宋体"/>
                <w:sz w:val="24"/>
              </w:rPr>
            </w:pPr>
          </w:p>
        </w:tc>
        <w:tc>
          <w:tcPr>
            <w:tcW w:w="1195" w:type="dxa"/>
            <w:vAlign w:val="center"/>
          </w:tcPr>
          <w:p>
            <w:pPr>
              <w:jc w:val="center"/>
              <w:rPr>
                <w:rFonts w:ascii="宋体" w:hAnsi="宋体"/>
                <w:bCs/>
                <w:sz w:val="24"/>
              </w:rPr>
            </w:pPr>
          </w:p>
        </w:tc>
        <w:tc>
          <w:tcPr>
            <w:tcW w:w="1017" w:type="dxa"/>
            <w:vAlign w:val="center"/>
          </w:tcPr>
          <w:p>
            <w:pPr>
              <w:jc w:val="center"/>
              <w:rPr>
                <w:rFonts w:ascii="宋体" w:hAnsi="宋体"/>
                <w:bCs/>
                <w:sz w:val="24"/>
              </w:rPr>
            </w:pPr>
          </w:p>
        </w:tc>
        <w:tc>
          <w:tcPr>
            <w:tcW w:w="1289" w:type="dxa"/>
            <w:vAlign w:val="center"/>
          </w:tcPr>
          <w:p>
            <w:pPr>
              <w:jc w:val="center"/>
              <w:rPr>
                <w:rFonts w:ascii="宋体" w:hAnsi="宋体"/>
                <w:sz w:val="24"/>
              </w:rPr>
            </w:pPr>
          </w:p>
        </w:tc>
        <w:tc>
          <w:tcPr>
            <w:tcW w:w="1019" w:type="dxa"/>
            <w:vAlign w:val="center"/>
          </w:tcPr>
          <w:p>
            <w:pPr>
              <w:ind w:left="-92" w:leftChars="-44"/>
              <w:jc w:val="center"/>
              <w:rPr>
                <w:rFonts w:ascii="宋体" w:hAnsi="宋体"/>
                <w:sz w:val="24"/>
              </w:rPr>
            </w:pPr>
          </w:p>
        </w:tc>
        <w:tc>
          <w:tcPr>
            <w:tcW w:w="715" w:type="dxa"/>
            <w:vAlign w:val="center"/>
          </w:tcPr>
          <w:p>
            <w:pPr>
              <w:ind w:left="-92" w:leftChars="-44"/>
              <w:jc w:val="center"/>
              <w:rPr>
                <w:rFonts w:ascii="宋体" w:hAnsi="宋体"/>
                <w:sz w:val="24"/>
              </w:rPr>
            </w:pPr>
          </w:p>
        </w:tc>
      </w:tr>
      <w:tr>
        <w:tblPrEx>
          <w:tblW w:w="10010" w:type="dxa"/>
          <w:tblInd w:w="0" w:type="dxa"/>
          <w:tblLayout w:type="fixed"/>
          <w:tblCellMar>
            <w:top w:w="0" w:type="dxa"/>
            <w:left w:w="108" w:type="dxa"/>
            <w:bottom w:w="0" w:type="dxa"/>
            <w:right w:w="108" w:type="dxa"/>
          </w:tblCellMar>
        </w:tblPrEx>
        <w:trPr>
          <w:cantSplit/>
          <w:trHeight w:val="703"/>
        </w:trPr>
        <w:tc>
          <w:tcPr>
            <w:tcW w:w="1101" w:type="dxa"/>
            <w:vAlign w:val="center"/>
          </w:tcPr>
          <w:p>
            <w:pPr>
              <w:jc w:val="center"/>
              <w:rPr>
                <w:rFonts w:ascii="宋体" w:hAnsi="宋体"/>
                <w:sz w:val="24"/>
              </w:rPr>
            </w:pPr>
            <w:r>
              <w:rPr>
                <w:rFonts w:ascii="宋体" w:hAnsi="宋体" w:hint="eastAsia"/>
                <w:sz w:val="24"/>
              </w:rPr>
              <w:t>总计</w:t>
            </w:r>
          </w:p>
          <w:p>
            <w:pPr>
              <w:jc w:val="center"/>
              <w:rPr>
                <w:rFonts w:ascii="宋体" w:hAnsi="宋体"/>
                <w:sz w:val="24"/>
              </w:rPr>
            </w:pPr>
            <w:r>
              <w:rPr>
                <w:rFonts w:ascii="宋体" w:hint="eastAsia"/>
                <w:b/>
                <w:sz w:val="24"/>
              </w:rPr>
              <w:t>（元）</w:t>
            </w:r>
          </w:p>
        </w:tc>
        <w:tc>
          <w:tcPr>
            <w:tcW w:w="8909" w:type="dxa"/>
            <w:gridSpan w:val="7"/>
            <w:vAlign w:val="center"/>
          </w:tcPr>
          <w:p>
            <w:pPr>
              <w:ind w:left="-92" w:leftChars="-44"/>
              <w:jc w:val="left"/>
              <w:rPr>
                <w:rFonts w:ascii="宋体" w:hAnsi="宋体"/>
                <w:sz w:val="24"/>
              </w:rPr>
            </w:pPr>
            <w:r>
              <w:rPr>
                <w:rFonts w:hint="eastAsia"/>
                <w:sz w:val="24"/>
              </w:rPr>
              <w:t>￥：           大写：</w:t>
            </w:r>
          </w:p>
        </w:tc>
      </w:tr>
    </w:tbl>
    <w:p>
      <w:pPr>
        <w:tabs>
          <w:tab w:val="left" w:pos="567"/>
        </w:tabs>
        <w:snapToGrid w:val="0"/>
        <w:spacing w:line="360" w:lineRule="auto"/>
        <w:rPr>
          <w:rFonts w:ascii="宋体" w:eastAsia="宋体" w:hAnsi="宋体" w:hint="eastAsia"/>
          <w:color w:val="000000"/>
          <w:sz w:val="24"/>
          <w:lang w:eastAsia="zh-CN"/>
        </w:rPr>
      </w:pPr>
    </w:p>
    <w:p>
      <w:pPr>
        <w:tabs>
          <w:tab w:val="left" w:pos="567"/>
        </w:tabs>
        <w:snapToGrid w:val="0"/>
        <w:spacing w:line="360" w:lineRule="auto"/>
        <w:rPr>
          <w:rFonts w:ascii="宋体" w:hAnsi="宋体"/>
          <w:color w:val="auto"/>
          <w:sz w:val="24"/>
        </w:rPr>
      </w:pPr>
      <w:r>
        <w:rPr>
          <w:rFonts w:ascii="宋体" w:hAnsi="宋体" w:hint="eastAsia"/>
          <w:color w:val="auto"/>
          <w:sz w:val="24"/>
        </w:rPr>
        <w:t>注：</w:t>
      </w:r>
    </w:p>
    <w:p>
      <w:pPr>
        <w:numPr>
          <w:ilvl w:val="1"/>
          <w:numId w:val="73"/>
        </w:numPr>
        <w:tabs>
          <w:tab w:val="left" w:pos="0"/>
          <w:tab w:val="clear" w:pos="1620"/>
        </w:tabs>
        <w:snapToGrid w:val="0"/>
        <w:spacing w:line="360" w:lineRule="auto"/>
        <w:ind w:left="0" w:firstLine="0"/>
        <w:rPr>
          <w:color w:val="auto"/>
          <w:spacing w:val="4"/>
          <w:sz w:val="24"/>
        </w:rPr>
      </w:pPr>
      <w:r>
        <w:rPr>
          <w:rFonts w:hint="eastAsia"/>
          <w:color w:val="auto"/>
          <w:spacing w:val="4"/>
          <w:sz w:val="24"/>
        </w:rPr>
        <w:t>中文大写金额用汉字，如壹、贰、叁、肆、伍、陆、柒、捌、玖、拾、佰、仟、万、亿、元、角、分、零、整（正）等。如：小写：</w:t>
      </w:r>
      <w:r>
        <w:rPr>
          <w:rFonts w:hint="eastAsia"/>
          <w:color w:val="auto"/>
          <w:spacing w:val="4"/>
          <w:sz w:val="24"/>
          <w:u w:val="single"/>
        </w:rPr>
        <w:t>RMB1230000</w:t>
      </w:r>
      <w:r>
        <w:rPr>
          <w:rFonts w:hint="eastAsia"/>
          <w:color w:val="auto"/>
          <w:spacing w:val="4"/>
          <w:sz w:val="24"/>
        </w:rPr>
        <w:t>，大写：</w:t>
      </w:r>
      <w:r>
        <w:rPr>
          <w:rFonts w:hint="eastAsia"/>
          <w:color w:val="auto"/>
          <w:spacing w:val="4"/>
          <w:sz w:val="24"/>
          <w:u w:val="single"/>
        </w:rPr>
        <w:t>壹佰贰拾叁万元整</w:t>
      </w:r>
      <w:r>
        <w:rPr>
          <w:rFonts w:hint="eastAsia"/>
          <w:color w:val="auto"/>
          <w:spacing w:val="4"/>
          <w:sz w:val="24"/>
        </w:rPr>
        <w:t>。</w:t>
      </w:r>
    </w:p>
    <w:p>
      <w:pPr>
        <w:numPr>
          <w:ilvl w:val="1"/>
          <w:numId w:val="73"/>
        </w:numPr>
        <w:tabs>
          <w:tab w:val="left" w:pos="0"/>
          <w:tab w:val="clear" w:pos="1620"/>
        </w:tabs>
        <w:snapToGrid w:val="0"/>
        <w:spacing w:line="360" w:lineRule="auto"/>
        <w:ind w:left="0" w:firstLine="0"/>
        <w:rPr>
          <w:rFonts w:ascii="宋体" w:hAnsi="宋体"/>
          <w:color w:val="auto"/>
          <w:sz w:val="24"/>
        </w:rPr>
      </w:pPr>
      <w:r>
        <w:rPr>
          <w:rFonts w:ascii="宋体" w:hAnsi="宋体" w:hint="eastAsia"/>
          <w:color w:val="auto"/>
          <w:sz w:val="24"/>
        </w:rPr>
        <w:t>此表为《开标一览表(报价表)》的报价明细表。</w:t>
      </w:r>
    </w:p>
    <w:p>
      <w:pPr>
        <w:numPr>
          <w:ilvl w:val="1"/>
          <w:numId w:val="73"/>
        </w:numPr>
        <w:tabs>
          <w:tab w:val="left" w:pos="0"/>
          <w:tab w:val="clear" w:pos="1620"/>
        </w:tabs>
        <w:snapToGrid w:val="0"/>
        <w:spacing w:line="360" w:lineRule="auto"/>
        <w:ind w:left="0" w:firstLine="0"/>
        <w:rPr>
          <w:rFonts w:ascii="宋体" w:hAnsi="宋体"/>
          <w:color w:val="auto"/>
          <w:sz w:val="24"/>
        </w:rPr>
      </w:pPr>
      <w:r>
        <w:rPr>
          <w:rFonts w:ascii="宋体" w:hAnsi="宋体" w:hint="eastAsia"/>
          <w:color w:val="auto"/>
          <w:sz w:val="24"/>
        </w:rPr>
        <w:t>所有价格均以人民币作为货币单位填写及计算。</w:t>
      </w:r>
    </w:p>
    <w:p>
      <w:pPr>
        <w:numPr>
          <w:ilvl w:val="1"/>
          <w:numId w:val="73"/>
        </w:numPr>
        <w:tabs>
          <w:tab w:val="left" w:pos="0"/>
          <w:tab w:val="clear" w:pos="1620"/>
        </w:tabs>
        <w:snapToGrid w:val="0"/>
        <w:spacing w:line="360" w:lineRule="auto"/>
        <w:ind w:left="0" w:firstLine="0"/>
        <w:rPr>
          <w:rFonts w:ascii="宋体" w:hAnsi="宋体"/>
          <w:b/>
          <w:bCs/>
          <w:color w:val="auto"/>
          <w:sz w:val="24"/>
          <w:u w:val="double"/>
        </w:rPr>
      </w:pPr>
      <w:r>
        <w:rPr>
          <w:rFonts w:ascii="宋体" w:hAnsi="宋体" w:hint="eastAsia"/>
          <w:b/>
          <w:bCs/>
          <w:color w:val="auto"/>
          <w:sz w:val="24"/>
          <w:u w:val="double"/>
        </w:rPr>
        <w:t>该表格式仅作参考，投标人的详细报价表格式可自定。</w:t>
      </w:r>
    </w:p>
    <w:p>
      <w:pPr>
        <w:rPr>
          <w:sz w:val="24"/>
        </w:rPr>
      </w:pPr>
      <w:bookmarkStart w:id="162" w:name="_Toc435514875"/>
      <w:bookmarkStart w:id="163" w:name="_Toc435515315"/>
      <w:r>
        <w:rPr>
          <w:rFonts w:hint="eastAsia"/>
          <w:sz w:val="24"/>
        </w:rPr>
        <w:br w:type="page"/>
      </w:r>
    </w:p>
    <w:p>
      <w:pPr>
        <w:pStyle w:val="Heading2"/>
        <w:numPr>
          <w:ilvl w:val="0"/>
          <w:numId w:val="72"/>
        </w:numPr>
        <w:spacing w:line="240" w:lineRule="auto"/>
        <w:jc w:val="center"/>
        <w:rPr>
          <w:rFonts w:ascii="黑体" w:hAnsi="黑体"/>
        </w:rPr>
      </w:pPr>
      <w:bookmarkEnd w:id="162"/>
      <w:bookmarkEnd w:id="163"/>
      <w:bookmarkStart w:id="164" w:name="_Toc13420"/>
      <w:bookmarkStart w:id="165" w:name="_Toc256000025"/>
      <w:r>
        <w:rPr>
          <w:rFonts w:ascii="黑体" w:hAnsi="黑体" w:hint="eastAsia"/>
        </w:rPr>
        <w:t>中小企业声明函（如有）</w:t>
      </w:r>
      <w:bookmarkEnd w:id="165"/>
      <w:bookmarkEnd w:id="156"/>
      <w:bookmarkEnd w:id="157"/>
      <w:bookmarkEnd w:id="164"/>
    </w:p>
    <w:p>
      <w:pPr>
        <w:snapToGrid w:val="0"/>
        <w:spacing w:line="360" w:lineRule="auto"/>
        <w:ind w:firstLine="372" w:firstLineChars="177"/>
        <w:rPr>
          <w:rFonts w:ascii="宋体" w:hAnsi="宋体"/>
          <w:sz w:val="24"/>
          <w:highlight w:val="none"/>
        </w:rPr>
      </w:pPr>
      <w:bookmarkStart w:id="166" w:name="_Toc269"/>
      <w:bookmarkStart w:id="167" w:name="_Toc30664873"/>
      <w:bookmarkStart w:id="168" w:name="OLE_LINK14"/>
      <w:bookmarkStart w:id="169" w:name="OLE_LINK13"/>
      <w:r>
        <w:rPr>
          <w:rFonts w:ascii="宋体" w:hAnsi="宋体" w:hint="eastAsia"/>
          <w:sz w:val="24"/>
        </w:rPr>
        <w:t>本公司（联合体）郑重声明，根据《政</w:t>
      </w:r>
      <w:r>
        <w:rPr>
          <w:rFonts w:ascii="宋体" w:hAnsi="宋体" w:hint="eastAsia"/>
          <w:sz w:val="24"/>
          <w:highlight w:val="none"/>
        </w:rPr>
        <w:t>府采购促进中小企业发展管理办法》（财库﹝</w:t>
      </w:r>
      <w:r>
        <w:rPr>
          <w:rFonts w:ascii="宋体" w:hAnsi="宋体"/>
          <w:sz w:val="24"/>
          <w:highlight w:val="none"/>
        </w:rPr>
        <w:t>2020﹞46 号）的规定，本公司</w:t>
      </w:r>
      <w:r>
        <w:rPr>
          <w:rFonts w:ascii="宋体" w:hAnsi="宋体" w:hint="eastAsia"/>
          <w:sz w:val="24"/>
          <w:highlight w:val="none"/>
        </w:rPr>
        <w:t>（联合体）参加</w:t>
      </w:r>
      <w:r>
        <w:rPr>
          <w:rFonts w:ascii="宋体" w:hAnsi="宋体" w:hint="eastAsia"/>
          <w:sz w:val="24"/>
          <w:highlight w:val="none"/>
          <w:u w:val="single"/>
          <w:lang w:eastAsia="zh-CN"/>
        </w:rPr>
        <w:t>深圳市生态环境局</w:t>
      </w:r>
      <w:r>
        <w:rPr>
          <w:rFonts w:ascii="宋体" w:hAnsi="宋体"/>
          <w:sz w:val="24"/>
          <w:highlight w:val="none"/>
        </w:rPr>
        <w:t>的</w:t>
      </w:r>
      <w:r>
        <w:rPr>
          <w:rFonts w:ascii="宋体" w:hAnsi="宋体" w:hint="eastAsia"/>
          <w:sz w:val="24"/>
          <w:highlight w:val="none"/>
          <w:u w:val="single"/>
          <w:lang w:eastAsia="zh-CN"/>
        </w:rPr>
        <w:t>2023-2024年基准年碳核查全流程技术支持服务</w:t>
      </w:r>
      <w:r>
        <w:rPr>
          <w:rFonts w:ascii="宋体" w:hAnsi="宋体"/>
          <w:sz w:val="24"/>
          <w:highlight w:val="none"/>
        </w:rPr>
        <w:t>采购活动，工</w:t>
      </w:r>
      <w:r>
        <w:rPr>
          <w:rFonts w:ascii="宋体" w:hAnsi="宋体" w:hint="eastAsia"/>
          <w:sz w:val="24"/>
          <w:highlight w:val="none"/>
        </w:rPr>
        <w:t>程的施工单位全部为符合政策要求的中小企业（或者：服务全部由符合政策要求的中小企业承接）。相关企业（含联合体中的中小企业、签订分包意向协议的中小企业）的具体情况如下：</w:t>
      </w:r>
    </w:p>
    <w:p>
      <w:pPr>
        <w:snapToGrid w:val="0"/>
        <w:spacing w:line="360" w:lineRule="auto"/>
        <w:ind w:firstLine="372" w:firstLineChars="177"/>
        <w:rPr>
          <w:rFonts w:ascii="宋体" w:hAnsi="宋体"/>
          <w:sz w:val="24"/>
        </w:rPr>
      </w:pPr>
      <w:r>
        <w:rPr>
          <w:rFonts w:ascii="宋体" w:hAnsi="宋体"/>
          <w:sz w:val="24"/>
          <w:highlight w:val="none"/>
        </w:rPr>
        <w:t>1.</w:t>
      </w:r>
      <w:r>
        <w:rPr>
          <w:rFonts w:ascii="宋体" w:hAnsi="宋体" w:hint="eastAsia"/>
          <w:color w:val="auto"/>
          <w:sz w:val="24"/>
          <w:highlight w:val="none"/>
          <w:u w:val="single"/>
        </w:rPr>
        <w:t>2023-2024年基准年碳核查全流程技术支持服务</w:t>
      </w:r>
      <w:r>
        <w:rPr>
          <w:rFonts w:ascii="宋体" w:hAnsi="宋体"/>
          <w:color w:val="auto"/>
          <w:sz w:val="24"/>
          <w:highlight w:val="none"/>
        </w:rPr>
        <w:t>，属于</w:t>
      </w:r>
      <w:r>
        <w:rPr>
          <w:rFonts w:ascii="宋体" w:hAnsi="宋体" w:hint="eastAsia"/>
          <w:color w:val="auto"/>
          <w:sz w:val="24"/>
          <w:highlight w:val="none"/>
          <w:u w:val="single"/>
        </w:rPr>
        <w:t>其他未列明行业</w:t>
      </w:r>
      <w:r>
        <w:rPr>
          <w:rFonts w:ascii="宋体" w:hAnsi="宋体"/>
          <w:sz w:val="24"/>
          <w:highlight w:val="none"/>
        </w:rPr>
        <w:t>；</w:t>
      </w:r>
      <w:r>
        <w:rPr>
          <w:rFonts w:ascii="宋体" w:hAnsi="宋体" w:hint="eastAsia"/>
          <w:sz w:val="24"/>
          <w:highlight w:val="none"/>
        </w:rPr>
        <w:t>承建（承接）企业为</w:t>
      </w:r>
      <w:r>
        <w:rPr>
          <w:rFonts w:ascii="宋体" w:hAnsi="宋体"/>
          <w:sz w:val="24"/>
          <w:highlight w:val="none"/>
          <w:u w:val="single"/>
        </w:rPr>
        <w:t>（企业名称）</w:t>
      </w:r>
      <w:r>
        <w:rPr>
          <w:rFonts w:ascii="宋体" w:hAnsi="宋体"/>
          <w:sz w:val="24"/>
          <w:highlight w:val="none"/>
        </w:rPr>
        <w:t>，从业人员</w:t>
      </w:r>
      <w:r>
        <w:rPr>
          <w:rFonts w:ascii="宋体" w:hAnsi="宋体"/>
          <w:sz w:val="24"/>
          <w:highlight w:val="none"/>
          <w:u w:val="single"/>
        </w:rPr>
        <w:t xml:space="preserve">     </w:t>
      </w:r>
      <w:r>
        <w:rPr>
          <w:rFonts w:ascii="宋体" w:hAnsi="宋体"/>
          <w:sz w:val="24"/>
          <w:highlight w:val="none"/>
        </w:rPr>
        <w:t>人，营业</w:t>
      </w:r>
      <w:r>
        <w:rPr>
          <w:rFonts w:ascii="宋体" w:hAnsi="宋体" w:hint="eastAsia"/>
          <w:sz w:val="24"/>
          <w:highlight w:val="none"/>
        </w:rPr>
        <w:t>收入</w:t>
      </w:r>
      <w:r>
        <w:rPr>
          <w:rFonts w:ascii="宋体" w:hAnsi="宋体" w:hint="eastAsia"/>
          <w:sz w:val="24"/>
        </w:rPr>
        <w:t>为</w:t>
      </w:r>
      <w:r>
        <w:rPr>
          <w:rFonts w:ascii="宋体" w:hAnsi="宋体"/>
          <w:sz w:val="24"/>
          <w:u w:val="single"/>
        </w:rPr>
        <w:t xml:space="preserve">     </w:t>
      </w:r>
      <w:r>
        <w:rPr>
          <w:rFonts w:ascii="宋体" w:hAnsi="宋体"/>
          <w:sz w:val="24"/>
        </w:rPr>
        <w:t>万元，资产总额为</w:t>
      </w:r>
      <w:r>
        <w:rPr>
          <w:rFonts w:ascii="宋体" w:hAnsi="宋体"/>
          <w:sz w:val="24"/>
          <w:u w:val="single"/>
        </w:rPr>
        <w:t xml:space="preserve">     </w:t>
      </w:r>
      <w:r>
        <w:rPr>
          <w:rFonts w:ascii="宋体" w:hAnsi="宋体"/>
          <w:sz w:val="24"/>
        </w:rPr>
        <w:t>万元，属于</w:t>
      </w:r>
      <w:r>
        <w:rPr>
          <w:rFonts w:ascii="宋体" w:hAnsi="宋体"/>
          <w:sz w:val="24"/>
          <w:u w:val="single"/>
        </w:rPr>
        <w:t>（中型企业、</w:t>
      </w:r>
      <w:r>
        <w:rPr>
          <w:rFonts w:ascii="宋体" w:hAnsi="宋体" w:hint="eastAsia"/>
          <w:sz w:val="24"/>
          <w:u w:val="single"/>
        </w:rPr>
        <w:t>小型企业、微型企业）</w:t>
      </w:r>
      <w:r>
        <w:rPr>
          <w:rFonts w:ascii="宋体" w:hAnsi="宋体"/>
          <w:sz w:val="24"/>
        </w:rPr>
        <w:t>；</w:t>
      </w:r>
    </w:p>
    <w:p>
      <w:pPr>
        <w:snapToGrid w:val="0"/>
        <w:spacing w:line="360" w:lineRule="auto"/>
        <w:ind w:firstLine="372" w:firstLineChars="177"/>
        <w:rPr>
          <w:rFonts w:ascii="宋体" w:hAnsi="宋体"/>
          <w:sz w:val="24"/>
        </w:rPr>
      </w:pPr>
      <w:r>
        <w:rPr>
          <w:rFonts w:ascii="宋体" w:hAnsi="宋体" w:hint="eastAsia"/>
          <w:sz w:val="24"/>
        </w:rPr>
        <w:t>……</w:t>
      </w:r>
    </w:p>
    <w:p>
      <w:pPr>
        <w:snapToGrid w:val="0"/>
        <w:spacing w:line="360" w:lineRule="auto"/>
        <w:ind w:firstLine="372" w:firstLineChars="177"/>
        <w:rPr>
          <w:rFonts w:ascii="宋体" w:hAnsi="宋体"/>
          <w:sz w:val="24"/>
        </w:rPr>
      </w:pPr>
      <w:r>
        <w:rPr>
          <w:rFonts w:ascii="宋体" w:hAnsi="宋体" w:hint="eastAsia"/>
          <w:sz w:val="24"/>
        </w:rPr>
        <w:t>以上企业，不属于大企业的分支机构，不存在控股股东为大企业的情形，也不存在与大企业的负责人为同一人的情形。</w:t>
      </w:r>
    </w:p>
    <w:p>
      <w:pPr>
        <w:snapToGrid w:val="0"/>
        <w:spacing w:line="360" w:lineRule="auto"/>
        <w:ind w:firstLine="372" w:firstLineChars="177"/>
        <w:rPr>
          <w:rFonts w:ascii="宋体" w:hAnsi="宋体"/>
          <w:sz w:val="24"/>
        </w:rPr>
      </w:pPr>
      <w:r>
        <w:rPr>
          <w:rFonts w:ascii="宋体" w:hAnsi="宋体" w:hint="eastAsia"/>
          <w:sz w:val="24"/>
        </w:rPr>
        <w:t>本企业对上述声明内容的真实性负责。如有虚假，将依法承担相应责任。</w:t>
      </w:r>
    </w:p>
    <w:p>
      <w:pPr>
        <w:snapToGrid w:val="0"/>
        <w:spacing w:line="360" w:lineRule="auto"/>
        <w:rPr>
          <w:rFonts w:ascii="宋体" w:hAnsi="宋体"/>
          <w:sz w:val="24"/>
        </w:rPr>
      </w:pPr>
    </w:p>
    <w:p>
      <w:pPr>
        <w:snapToGrid w:val="0"/>
        <w:spacing w:line="360" w:lineRule="auto"/>
        <w:rPr>
          <w:rFonts w:ascii="宋体" w:hAnsi="宋体"/>
          <w:sz w:val="24"/>
        </w:rPr>
      </w:pPr>
      <w:r>
        <w:rPr>
          <w:rFonts w:ascii="宋体" w:hAnsi="宋体" w:hint="eastAsia"/>
          <w:sz w:val="24"/>
        </w:rPr>
        <w:t>备注：</w:t>
      </w:r>
    </w:p>
    <w:p>
      <w:pPr>
        <w:snapToGrid w:val="0"/>
        <w:spacing w:line="360" w:lineRule="auto"/>
        <w:rPr>
          <w:rFonts w:ascii="宋体" w:hAnsi="宋体"/>
          <w:sz w:val="24"/>
        </w:rPr>
      </w:pPr>
      <w:r>
        <w:rPr>
          <w:rFonts w:ascii="宋体" w:hAnsi="宋体" w:hint="eastAsia"/>
          <w:sz w:val="24"/>
        </w:rPr>
        <w:t>1、从业人员、营业收入、资产总额填报上一年度数据，无上一年度数据的新成立企业可不填报</w:t>
      </w:r>
    </w:p>
    <w:p>
      <w:pPr>
        <w:snapToGrid w:val="0"/>
        <w:spacing w:line="360" w:lineRule="auto"/>
        <w:rPr>
          <w:rFonts w:ascii="宋体" w:hAnsi="宋体"/>
          <w:sz w:val="24"/>
        </w:rPr>
      </w:pPr>
      <w:r>
        <w:rPr>
          <w:rFonts w:ascii="宋体" w:hAnsi="宋体" w:hint="eastAsia"/>
          <w:sz w:val="24"/>
        </w:rPr>
        <w:t>2、投标人已知悉《政府采购促进中小企业发展管理办法》（财库〔2020〕46 号）、《中小企业划型标准规定》（工信部联企〔2011〕300 号）、《统计上大中小微型企业划分办法（2017）》等规定，承诺提供的声明函内容是真实的，并知悉根据《政府采购促进中小企业发展管理办法》（财库〔2020〕46 号）第二十条规定，供应商按照本办法规定提供声明函内容不实的，属于提供虚假材料谋取中标、成交，依照《政府采购法》等政府采购有关法律法规规定追究相应责任。</w:t>
      </w:r>
    </w:p>
    <w:p>
      <w:pPr>
        <w:snapToGrid w:val="0"/>
        <w:spacing w:line="360" w:lineRule="auto"/>
        <w:rPr>
          <w:rFonts w:ascii="宋体" w:hAnsi="宋体"/>
          <w:sz w:val="24"/>
        </w:rPr>
      </w:pPr>
      <w:r>
        <w:rPr>
          <w:rFonts w:ascii="宋体" w:hAnsi="宋体" w:hint="eastAsia"/>
          <w:sz w:val="24"/>
        </w:rPr>
        <w:t>3、采购人、采购代理机构将按国家有关规定随中标、成交结果公开中标、成交供应商的《中小企业声明函》。</w:t>
      </w:r>
      <w:r>
        <w:rPr>
          <w:rFonts w:ascii="黑体" w:hAnsi="黑体"/>
        </w:rPr>
        <w:br w:type="page"/>
      </w:r>
    </w:p>
    <w:p>
      <w:pPr>
        <w:pStyle w:val="Heading2"/>
        <w:numPr>
          <w:ilvl w:val="0"/>
          <w:numId w:val="72"/>
        </w:numPr>
        <w:spacing w:line="240" w:lineRule="auto"/>
        <w:jc w:val="center"/>
        <w:rPr>
          <w:rFonts w:ascii="黑体" w:hAnsi="黑体"/>
        </w:rPr>
      </w:pPr>
      <w:bookmarkStart w:id="170" w:name="_Toc30500"/>
      <w:bookmarkStart w:id="171" w:name="_Toc256000026"/>
      <w:r>
        <w:rPr>
          <w:rFonts w:ascii="黑体" w:hAnsi="黑体" w:hint="eastAsia"/>
        </w:rPr>
        <w:t>残疾人福利性单位声明函（如有）</w:t>
      </w:r>
      <w:bookmarkEnd w:id="171"/>
      <w:bookmarkEnd w:id="166"/>
      <w:bookmarkEnd w:id="167"/>
      <w:bookmarkEnd w:id="170"/>
    </w:p>
    <w:p>
      <w:pPr>
        <w:spacing w:line="360" w:lineRule="auto"/>
        <w:ind w:firstLine="420" w:firstLineChars="200"/>
        <w:rPr>
          <w:rFonts w:ascii="宋体" w:hAnsi="宋体"/>
          <w:sz w:val="24"/>
        </w:rPr>
      </w:pPr>
      <w:bookmarkEnd w:id="168"/>
      <w:bookmarkEnd w:id="169"/>
      <w:r>
        <w:rPr>
          <w:rFonts w:ascii="宋体" w:hAnsi="宋体" w:hint="eastAsia"/>
          <w:sz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20" w:firstLineChars="200"/>
        <w:rPr>
          <w:rFonts w:ascii="宋体" w:hAnsi="宋体"/>
          <w:sz w:val="24"/>
        </w:rPr>
      </w:pPr>
      <w:r>
        <w:rPr>
          <w:rFonts w:ascii="宋体" w:hAnsi="宋体" w:hint="eastAsia"/>
          <w:sz w:val="24"/>
        </w:rPr>
        <w:t>本单位对上述声明的真实性负责。如有虚假，将依法承担相应责任。</w:t>
      </w:r>
    </w:p>
    <w:p>
      <w:pPr>
        <w:snapToGrid w:val="0"/>
        <w:spacing w:line="360" w:lineRule="auto"/>
        <w:rPr>
          <w:rFonts w:ascii="宋体" w:hAnsi="宋体"/>
          <w:sz w:val="24"/>
        </w:rPr>
      </w:pPr>
    </w:p>
    <w:p>
      <w:pPr>
        <w:snapToGrid w:val="0"/>
        <w:spacing w:line="360" w:lineRule="auto"/>
        <w:rPr>
          <w:rFonts w:ascii="宋体" w:hAnsi="宋体"/>
          <w:sz w:val="24"/>
        </w:rPr>
      </w:pPr>
      <w:r>
        <w:rPr>
          <w:rFonts w:ascii="宋体" w:hAnsi="宋体" w:hint="eastAsia"/>
          <w:sz w:val="24"/>
        </w:rPr>
        <w:t>备注：</w:t>
      </w:r>
    </w:p>
    <w:p>
      <w:pPr>
        <w:snapToGrid w:val="0"/>
        <w:spacing w:line="360" w:lineRule="auto"/>
        <w:ind w:firstLine="420" w:firstLineChars="200"/>
        <w:rPr>
          <w:rFonts w:ascii="宋体" w:hAnsi="宋体"/>
          <w:sz w:val="24"/>
        </w:rPr>
      </w:pPr>
      <w:r>
        <w:rPr>
          <w:rFonts w:ascii="宋体" w:hAnsi="宋体" w:hint="eastAsia"/>
          <w:sz w:val="24"/>
        </w:rPr>
        <w:t>投标人知悉《关于促进残疾人就业政府采购政策的通知》（财库〔2017〕141 号）的规定，承诺提供的声明函内容是真实的，如提供声明函内容不实，则依法追究相关法律责任。</w:t>
      </w:r>
    </w:p>
    <w:p>
      <w:pPr>
        <w:widowControl/>
        <w:jc w:val="left"/>
        <w:rPr>
          <w:rFonts w:ascii="黑体" w:eastAsia="黑体" w:hAnsi="黑体"/>
          <w:sz w:val="32"/>
          <w:szCs w:val="32"/>
        </w:rPr>
      </w:pPr>
      <w:r>
        <w:rPr>
          <w:rFonts w:ascii="黑体" w:eastAsia="黑体" w:hAnsi="黑体"/>
          <w:sz w:val="32"/>
          <w:szCs w:val="32"/>
        </w:rPr>
        <w:br w:type="page"/>
      </w:r>
    </w:p>
    <w:p>
      <w:pPr>
        <w:pStyle w:val="Heading2"/>
        <w:numPr>
          <w:ilvl w:val="0"/>
          <w:numId w:val="72"/>
        </w:numPr>
        <w:spacing w:line="240" w:lineRule="auto"/>
        <w:jc w:val="center"/>
        <w:rPr>
          <w:rFonts w:ascii="黑体" w:hAnsi="黑体"/>
        </w:rPr>
      </w:pPr>
      <w:bookmarkStart w:id="172" w:name="_Toc13872"/>
      <w:bookmarkStart w:id="173" w:name="_Toc31731"/>
      <w:bookmarkStart w:id="174" w:name="_Toc30664874"/>
      <w:bookmarkStart w:id="175" w:name="_Toc256000027"/>
      <w:r>
        <w:rPr>
          <w:rFonts w:ascii="黑体" w:hAnsi="黑体" w:hint="eastAsia"/>
        </w:rPr>
        <w:t>监狱企业的证明文件（如有）</w:t>
      </w:r>
      <w:bookmarkEnd w:id="175"/>
      <w:bookmarkEnd w:id="172"/>
      <w:bookmarkEnd w:id="173"/>
      <w:bookmarkEnd w:id="174"/>
    </w:p>
    <w:p>
      <w:pPr>
        <w:spacing w:line="360" w:lineRule="auto"/>
        <w:ind w:firstLine="420" w:firstLineChars="200"/>
        <w:rPr>
          <w:rFonts w:ascii="宋体" w:hAnsi="宋体"/>
          <w:sz w:val="24"/>
        </w:rPr>
      </w:pPr>
      <w:r>
        <w:rPr>
          <w:rFonts w:ascii="宋体" w:hAnsi="宋体" w:hint="eastAsia"/>
          <w:sz w:val="24"/>
        </w:rPr>
        <w:t>说明：监狱企业参加政府采购活动时，应当提供由</w:t>
      </w:r>
      <w:r>
        <w:rPr>
          <w:rFonts w:ascii="宋体" w:hAnsi="宋体" w:hint="eastAsia"/>
          <w:b/>
          <w:sz w:val="24"/>
        </w:rPr>
        <w:t>省级以上监狱管理局、戒毒管理局（含新疆生产建设兵团）出具的属于监狱企业的证明文件</w:t>
      </w:r>
      <w:r>
        <w:rPr>
          <w:rFonts w:ascii="宋体" w:hAnsi="宋体" w:hint="eastAsia"/>
          <w:sz w:val="24"/>
        </w:rPr>
        <w:t>。</w:t>
      </w:r>
    </w:p>
    <w:p>
      <w:pPr>
        <w:widowControl/>
        <w:jc w:val="left"/>
        <w:rPr>
          <w:rFonts w:ascii="黑体" w:eastAsia="黑体" w:hAnsi="黑体"/>
          <w:sz w:val="32"/>
          <w:szCs w:val="32"/>
        </w:rPr>
      </w:pPr>
      <w:r>
        <w:rPr>
          <w:rFonts w:ascii="黑体" w:eastAsia="黑体" w:hAnsi="黑体"/>
          <w:sz w:val="32"/>
          <w:szCs w:val="32"/>
        </w:rPr>
        <w:br w:type="page"/>
      </w:r>
    </w:p>
    <w:p>
      <w:pPr>
        <w:pStyle w:val="Heading2"/>
        <w:numPr>
          <w:ilvl w:val="0"/>
          <w:numId w:val="72"/>
        </w:numPr>
        <w:spacing w:line="240" w:lineRule="auto"/>
        <w:jc w:val="center"/>
        <w:rPr>
          <w:rFonts w:ascii="黑体" w:hAnsi="黑体"/>
        </w:rPr>
      </w:pPr>
      <w:bookmarkStart w:id="176" w:name="_Toc9824"/>
      <w:bookmarkStart w:id="177" w:name="_Toc6176"/>
      <w:bookmarkStart w:id="178" w:name="_Toc30664875"/>
      <w:bookmarkStart w:id="179" w:name="_Toc256000028"/>
      <w:r>
        <w:rPr>
          <w:rFonts w:ascii="黑体" w:hAnsi="黑体" w:hint="eastAsia"/>
        </w:rPr>
        <w:t>政策功能情况（如有）</w:t>
      </w:r>
      <w:bookmarkEnd w:id="179"/>
      <w:bookmarkEnd w:id="176"/>
      <w:bookmarkEnd w:id="177"/>
      <w:bookmarkEnd w:id="178"/>
    </w:p>
    <w:p>
      <w:pPr>
        <w:tabs>
          <w:tab w:val="left" w:pos="7740"/>
        </w:tabs>
        <w:snapToGrid w:val="0"/>
        <w:spacing w:line="360" w:lineRule="auto"/>
        <w:rPr>
          <w:rFonts w:ascii="宋体" w:eastAsia="宋体" w:hAnsi="宋体" w:hint="eastAsia"/>
          <w:bCs/>
          <w:color w:val="FF0000"/>
          <w:sz w:val="24"/>
          <w:lang w:val="en-GB" w:eastAsia="zh-CN"/>
        </w:rPr>
      </w:pPr>
      <w:r>
        <w:rPr>
          <w:rFonts w:ascii="宋体" w:hAnsi="宋体" w:hint="eastAsia"/>
          <w:sz w:val="24"/>
        </w:rPr>
        <w:t>项目名称：</w:t>
      </w:r>
      <w:r>
        <w:rPr>
          <w:rFonts w:ascii="宋体" w:hAnsi="宋体" w:hint="eastAsia"/>
          <w:sz w:val="24"/>
          <w:lang w:eastAsia="zh-CN"/>
        </w:rPr>
        <w:t>2023-2024年基准年碳核查全流程技术支持服务</w:t>
      </w:r>
    </w:p>
    <w:tbl>
      <w:tblPr>
        <w:tblStyle w:val="TableNormal"/>
        <w:tblW w:w="939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0" w:type="dxa"/>
          <w:left w:w="108" w:type="dxa"/>
          <w:bottom w:w="0" w:type="dxa"/>
          <w:right w:w="108" w:type="dxa"/>
        </w:tblCellMar>
      </w:tblPr>
      <w:tblGrid>
        <w:gridCol w:w="1003"/>
        <w:gridCol w:w="2182"/>
        <w:gridCol w:w="1663"/>
        <w:gridCol w:w="1977"/>
        <w:gridCol w:w="2571"/>
      </w:tblGrid>
      <w:tr>
        <w:tblPrEx>
          <w:tblW w:w="939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0" w:type="dxa"/>
            <w:left w:w="108" w:type="dxa"/>
            <w:bottom w:w="0" w:type="dxa"/>
            <w:right w:w="108" w:type="dxa"/>
          </w:tblCellMar>
        </w:tblPrEx>
        <w:trPr>
          <w:trHeight w:val="622"/>
          <w:jc w:val="center"/>
        </w:trPr>
        <w:tc>
          <w:tcPr>
            <w:tcW w:w="1003" w:type="dxa"/>
            <w:vAlign w:val="center"/>
          </w:tcPr>
          <w:p>
            <w:pPr>
              <w:tabs>
                <w:tab w:val="left" w:pos="7740"/>
              </w:tabs>
              <w:snapToGrid w:val="0"/>
              <w:spacing w:line="288" w:lineRule="auto"/>
              <w:jc w:val="center"/>
              <w:rPr>
                <w:rFonts w:ascii="宋体" w:hAnsi="宋体"/>
                <w:sz w:val="24"/>
                <w:lang w:val="en-GB"/>
              </w:rPr>
            </w:pPr>
            <w:r>
              <w:rPr>
                <w:rFonts w:ascii="宋体" w:hAnsi="宋体" w:hint="eastAsia"/>
                <w:sz w:val="24"/>
                <w:lang w:val="en-GB"/>
              </w:rPr>
              <w:t>类别</w:t>
            </w:r>
          </w:p>
        </w:tc>
        <w:tc>
          <w:tcPr>
            <w:tcW w:w="2182" w:type="dxa"/>
            <w:vAlign w:val="center"/>
          </w:tcPr>
          <w:p>
            <w:pPr>
              <w:tabs>
                <w:tab w:val="left" w:pos="7740"/>
              </w:tabs>
              <w:snapToGrid w:val="0"/>
              <w:spacing w:line="288" w:lineRule="auto"/>
              <w:jc w:val="center"/>
              <w:rPr>
                <w:rFonts w:ascii="宋体" w:hAnsi="宋体"/>
                <w:sz w:val="24"/>
                <w:lang w:val="en-GB"/>
              </w:rPr>
            </w:pPr>
            <w:r>
              <w:rPr>
                <w:rFonts w:ascii="宋体" w:hAnsi="宋体" w:hint="eastAsia"/>
                <w:sz w:val="24"/>
                <w:lang w:val="en-GB"/>
              </w:rPr>
              <w:t>投标产品</w:t>
            </w:r>
          </w:p>
          <w:p>
            <w:pPr>
              <w:tabs>
                <w:tab w:val="left" w:pos="7740"/>
              </w:tabs>
              <w:snapToGrid w:val="0"/>
              <w:spacing w:line="288" w:lineRule="auto"/>
              <w:jc w:val="center"/>
              <w:rPr>
                <w:rFonts w:ascii="宋体" w:hAnsi="宋体"/>
                <w:sz w:val="24"/>
                <w:lang w:val="en-GB"/>
              </w:rPr>
            </w:pPr>
            <w:r>
              <w:rPr>
                <w:rFonts w:ascii="宋体" w:hAnsi="宋体" w:hint="eastAsia"/>
                <w:sz w:val="24"/>
                <w:lang w:val="en-GB"/>
              </w:rPr>
              <w:t>（规格型号）</w:t>
            </w:r>
          </w:p>
        </w:tc>
        <w:tc>
          <w:tcPr>
            <w:tcW w:w="1663" w:type="dxa"/>
            <w:vAlign w:val="center"/>
          </w:tcPr>
          <w:p>
            <w:pPr>
              <w:tabs>
                <w:tab w:val="left" w:pos="7740"/>
              </w:tabs>
              <w:snapToGrid w:val="0"/>
              <w:spacing w:line="288" w:lineRule="auto"/>
              <w:jc w:val="center"/>
              <w:rPr>
                <w:rFonts w:ascii="宋体" w:hAnsi="宋体"/>
                <w:sz w:val="24"/>
                <w:lang w:val="en-GB"/>
              </w:rPr>
            </w:pPr>
            <w:r>
              <w:rPr>
                <w:rFonts w:ascii="宋体" w:hAnsi="宋体" w:hint="eastAsia"/>
                <w:sz w:val="24"/>
                <w:lang w:val="en-GB"/>
              </w:rPr>
              <w:t>生产者</w:t>
            </w:r>
          </w:p>
          <w:p>
            <w:pPr>
              <w:tabs>
                <w:tab w:val="left" w:pos="7740"/>
              </w:tabs>
              <w:snapToGrid w:val="0"/>
              <w:spacing w:line="288" w:lineRule="auto"/>
              <w:jc w:val="center"/>
              <w:rPr>
                <w:rFonts w:ascii="宋体" w:hAnsi="宋体"/>
                <w:sz w:val="24"/>
                <w:lang w:val="en-GB"/>
              </w:rPr>
            </w:pPr>
            <w:r>
              <w:rPr>
                <w:rFonts w:ascii="宋体" w:hAnsi="宋体" w:hint="eastAsia"/>
                <w:sz w:val="24"/>
                <w:lang w:val="en-GB"/>
              </w:rPr>
              <w:t>（制造商）</w:t>
            </w:r>
          </w:p>
        </w:tc>
        <w:tc>
          <w:tcPr>
            <w:tcW w:w="1977" w:type="dxa"/>
            <w:vAlign w:val="center"/>
          </w:tcPr>
          <w:p>
            <w:pPr>
              <w:tabs>
                <w:tab w:val="left" w:pos="7740"/>
              </w:tabs>
              <w:snapToGrid w:val="0"/>
              <w:spacing w:line="288" w:lineRule="auto"/>
              <w:jc w:val="center"/>
              <w:rPr>
                <w:rFonts w:ascii="宋体" w:hAnsi="宋体"/>
                <w:sz w:val="24"/>
                <w:lang w:val="en-GB"/>
              </w:rPr>
            </w:pPr>
            <w:r>
              <w:rPr>
                <w:rFonts w:ascii="宋体" w:hAnsi="宋体"/>
                <w:sz w:val="24"/>
                <w:lang w:val="en-GB"/>
              </w:rPr>
              <w:t>证书编号</w:t>
            </w:r>
          </w:p>
        </w:tc>
        <w:tc>
          <w:tcPr>
            <w:tcW w:w="2571" w:type="dxa"/>
            <w:tcBorders>
              <w:bottom w:val="single" w:sz="4" w:space="0" w:color="auto"/>
            </w:tcBorders>
            <w:vAlign w:val="center"/>
          </w:tcPr>
          <w:p>
            <w:pPr>
              <w:tabs>
                <w:tab w:val="left" w:pos="7740"/>
              </w:tabs>
              <w:snapToGrid w:val="0"/>
              <w:spacing w:line="288" w:lineRule="auto"/>
              <w:jc w:val="center"/>
              <w:rPr>
                <w:rFonts w:ascii="宋体" w:hAnsi="宋体"/>
                <w:sz w:val="24"/>
                <w:lang w:val="en-GB"/>
              </w:rPr>
            </w:pPr>
            <w:r>
              <w:rPr>
                <w:rFonts w:ascii="宋体" w:hAnsi="宋体" w:hint="eastAsia"/>
                <w:sz w:val="24"/>
                <w:lang w:val="en-GB"/>
              </w:rPr>
              <w:t>所投节能产品金额</w:t>
            </w:r>
          </w:p>
        </w:tc>
      </w:tr>
      <w:tr>
        <w:tblPrEx>
          <w:tblW w:w="9396" w:type="dxa"/>
          <w:jc w:val="center"/>
          <w:tblLayout w:type="fixed"/>
          <w:tblCellMar>
            <w:top w:w="0" w:type="dxa"/>
            <w:left w:w="108" w:type="dxa"/>
            <w:bottom w:w="0" w:type="dxa"/>
            <w:right w:w="108" w:type="dxa"/>
          </w:tblCellMar>
        </w:tblPrEx>
        <w:trPr>
          <w:trHeight w:val="475"/>
          <w:jc w:val="center"/>
        </w:trPr>
        <w:tc>
          <w:tcPr>
            <w:tcW w:w="1003" w:type="dxa"/>
            <w:vMerge w:val="restart"/>
            <w:vAlign w:val="center"/>
          </w:tcPr>
          <w:p>
            <w:pPr>
              <w:tabs>
                <w:tab w:val="left" w:pos="7740"/>
              </w:tabs>
              <w:snapToGrid w:val="0"/>
              <w:spacing w:line="288" w:lineRule="auto"/>
              <w:rPr>
                <w:rFonts w:ascii="宋体" w:hAnsi="宋体"/>
                <w:sz w:val="24"/>
                <w:lang w:val="en-GB"/>
              </w:rPr>
            </w:pPr>
            <w:r>
              <w:rPr>
                <w:rFonts w:ascii="宋体" w:hAnsi="宋体" w:hint="eastAsia"/>
                <w:sz w:val="24"/>
                <w:lang w:val="en-GB"/>
              </w:rPr>
              <w:t>节能</w:t>
            </w:r>
          </w:p>
          <w:p>
            <w:pPr>
              <w:tabs>
                <w:tab w:val="left" w:pos="7740"/>
              </w:tabs>
              <w:snapToGrid w:val="0"/>
              <w:spacing w:line="288" w:lineRule="auto"/>
              <w:rPr>
                <w:rFonts w:ascii="宋体" w:hAnsi="宋体"/>
                <w:sz w:val="24"/>
                <w:lang w:val="en-GB"/>
              </w:rPr>
            </w:pPr>
            <w:r>
              <w:rPr>
                <w:rFonts w:ascii="宋体" w:hAnsi="宋体" w:hint="eastAsia"/>
                <w:sz w:val="24"/>
                <w:lang w:val="en-GB"/>
              </w:rPr>
              <w:t>产品</w:t>
            </w:r>
          </w:p>
        </w:tc>
        <w:tc>
          <w:tcPr>
            <w:tcW w:w="2182" w:type="dxa"/>
            <w:vAlign w:val="center"/>
          </w:tcPr>
          <w:p>
            <w:pPr>
              <w:tabs>
                <w:tab w:val="left" w:pos="7740"/>
              </w:tabs>
              <w:snapToGrid w:val="0"/>
              <w:spacing w:line="288" w:lineRule="auto"/>
              <w:rPr>
                <w:rFonts w:ascii="宋体" w:hAnsi="宋体"/>
                <w:sz w:val="24"/>
                <w:lang w:val="en-GB"/>
              </w:rPr>
            </w:pPr>
          </w:p>
        </w:tc>
        <w:tc>
          <w:tcPr>
            <w:tcW w:w="1663" w:type="dxa"/>
            <w:vAlign w:val="center"/>
          </w:tcPr>
          <w:p>
            <w:pPr>
              <w:tabs>
                <w:tab w:val="left" w:pos="7740"/>
              </w:tabs>
              <w:snapToGrid w:val="0"/>
              <w:spacing w:line="288" w:lineRule="auto"/>
              <w:rPr>
                <w:rFonts w:ascii="宋体" w:hAnsi="宋体"/>
                <w:sz w:val="24"/>
                <w:lang w:val="en-GB"/>
              </w:rPr>
            </w:pPr>
          </w:p>
        </w:tc>
        <w:tc>
          <w:tcPr>
            <w:tcW w:w="1977" w:type="dxa"/>
            <w:vAlign w:val="center"/>
          </w:tcPr>
          <w:p>
            <w:pPr>
              <w:tabs>
                <w:tab w:val="left" w:pos="7740"/>
              </w:tabs>
              <w:snapToGrid w:val="0"/>
              <w:spacing w:line="288" w:lineRule="auto"/>
              <w:rPr>
                <w:rFonts w:ascii="宋体" w:hAnsi="宋体"/>
                <w:sz w:val="24"/>
                <w:lang w:val="en-GB"/>
              </w:rPr>
            </w:pPr>
          </w:p>
        </w:tc>
        <w:tc>
          <w:tcPr>
            <w:tcW w:w="2571" w:type="dxa"/>
            <w:vAlign w:val="center"/>
          </w:tcPr>
          <w:p>
            <w:pPr>
              <w:tabs>
                <w:tab w:val="left" w:pos="7740"/>
              </w:tabs>
              <w:snapToGrid w:val="0"/>
              <w:spacing w:line="288" w:lineRule="auto"/>
              <w:rPr>
                <w:rFonts w:ascii="宋体" w:hAnsi="宋体"/>
                <w:sz w:val="24"/>
                <w:lang w:val="en-GB"/>
              </w:rPr>
            </w:pPr>
          </w:p>
        </w:tc>
      </w:tr>
      <w:tr>
        <w:tblPrEx>
          <w:tblW w:w="9396" w:type="dxa"/>
          <w:jc w:val="center"/>
          <w:tblLayout w:type="fixed"/>
          <w:tblCellMar>
            <w:top w:w="0" w:type="dxa"/>
            <w:left w:w="108" w:type="dxa"/>
            <w:bottom w:w="0" w:type="dxa"/>
            <w:right w:w="108" w:type="dxa"/>
          </w:tblCellMar>
        </w:tblPrEx>
        <w:trPr>
          <w:trHeight w:val="475"/>
          <w:jc w:val="center"/>
        </w:trPr>
        <w:tc>
          <w:tcPr>
            <w:tcW w:w="1003" w:type="dxa"/>
            <w:vMerge/>
            <w:vAlign w:val="center"/>
          </w:tcPr>
          <w:p>
            <w:pPr>
              <w:tabs>
                <w:tab w:val="left" w:pos="7740"/>
              </w:tabs>
              <w:snapToGrid w:val="0"/>
              <w:spacing w:line="288" w:lineRule="auto"/>
              <w:rPr>
                <w:rFonts w:ascii="宋体" w:hAnsi="宋体"/>
                <w:sz w:val="24"/>
                <w:lang w:val="en-GB"/>
              </w:rPr>
            </w:pPr>
          </w:p>
        </w:tc>
        <w:tc>
          <w:tcPr>
            <w:tcW w:w="2182" w:type="dxa"/>
            <w:vAlign w:val="center"/>
          </w:tcPr>
          <w:p>
            <w:pPr>
              <w:tabs>
                <w:tab w:val="left" w:pos="7740"/>
              </w:tabs>
              <w:snapToGrid w:val="0"/>
              <w:spacing w:line="288" w:lineRule="auto"/>
              <w:rPr>
                <w:rFonts w:ascii="宋体" w:hAnsi="宋体"/>
                <w:sz w:val="24"/>
                <w:lang w:val="en-GB"/>
              </w:rPr>
            </w:pPr>
          </w:p>
        </w:tc>
        <w:tc>
          <w:tcPr>
            <w:tcW w:w="1663" w:type="dxa"/>
            <w:vAlign w:val="center"/>
          </w:tcPr>
          <w:p>
            <w:pPr>
              <w:tabs>
                <w:tab w:val="left" w:pos="7740"/>
              </w:tabs>
              <w:snapToGrid w:val="0"/>
              <w:spacing w:line="288" w:lineRule="auto"/>
              <w:rPr>
                <w:rFonts w:ascii="宋体" w:hAnsi="宋体"/>
                <w:sz w:val="24"/>
                <w:lang w:val="en-GB"/>
              </w:rPr>
            </w:pPr>
          </w:p>
        </w:tc>
        <w:tc>
          <w:tcPr>
            <w:tcW w:w="1977" w:type="dxa"/>
            <w:vAlign w:val="center"/>
          </w:tcPr>
          <w:p>
            <w:pPr>
              <w:tabs>
                <w:tab w:val="left" w:pos="7740"/>
              </w:tabs>
              <w:snapToGrid w:val="0"/>
              <w:spacing w:line="288" w:lineRule="auto"/>
              <w:rPr>
                <w:rFonts w:ascii="宋体" w:hAnsi="宋体"/>
                <w:sz w:val="24"/>
                <w:lang w:val="en-GB"/>
              </w:rPr>
            </w:pPr>
          </w:p>
        </w:tc>
        <w:tc>
          <w:tcPr>
            <w:tcW w:w="2571" w:type="dxa"/>
            <w:vAlign w:val="center"/>
          </w:tcPr>
          <w:p>
            <w:pPr>
              <w:tabs>
                <w:tab w:val="left" w:pos="7740"/>
              </w:tabs>
              <w:snapToGrid w:val="0"/>
              <w:spacing w:line="288" w:lineRule="auto"/>
              <w:rPr>
                <w:rFonts w:ascii="宋体" w:hAnsi="宋体"/>
                <w:sz w:val="24"/>
                <w:lang w:val="en-GB"/>
              </w:rPr>
            </w:pPr>
          </w:p>
        </w:tc>
      </w:tr>
      <w:tr>
        <w:tblPrEx>
          <w:tblW w:w="9396" w:type="dxa"/>
          <w:jc w:val="center"/>
          <w:tblLayout w:type="fixed"/>
          <w:tblCellMar>
            <w:top w:w="0" w:type="dxa"/>
            <w:left w:w="108" w:type="dxa"/>
            <w:bottom w:w="0" w:type="dxa"/>
            <w:right w:w="108" w:type="dxa"/>
          </w:tblCellMar>
        </w:tblPrEx>
        <w:trPr>
          <w:trHeight w:val="1563"/>
          <w:jc w:val="center"/>
        </w:trPr>
        <w:tc>
          <w:tcPr>
            <w:tcW w:w="1003" w:type="dxa"/>
            <w:vMerge/>
            <w:vAlign w:val="center"/>
          </w:tcPr>
          <w:p>
            <w:pPr>
              <w:tabs>
                <w:tab w:val="left" w:pos="7740"/>
              </w:tabs>
              <w:snapToGrid w:val="0"/>
              <w:spacing w:line="288" w:lineRule="auto"/>
              <w:rPr>
                <w:rFonts w:ascii="宋体" w:hAnsi="宋体"/>
                <w:sz w:val="24"/>
                <w:lang w:val="en-GB"/>
              </w:rPr>
            </w:pPr>
          </w:p>
        </w:tc>
        <w:tc>
          <w:tcPr>
            <w:tcW w:w="8393" w:type="dxa"/>
            <w:gridSpan w:val="4"/>
            <w:vAlign w:val="center"/>
          </w:tcPr>
          <w:p>
            <w:pPr>
              <w:tabs>
                <w:tab w:val="left" w:pos="7740"/>
              </w:tabs>
              <w:snapToGrid w:val="0"/>
              <w:spacing w:line="288" w:lineRule="auto"/>
              <w:rPr>
                <w:rFonts w:ascii="宋体" w:hAnsi="宋体"/>
                <w:sz w:val="24"/>
                <w:lang w:val="en-GB"/>
              </w:rPr>
            </w:pPr>
          </w:p>
          <w:p>
            <w:pPr>
              <w:tabs>
                <w:tab w:val="left" w:pos="7740"/>
              </w:tabs>
              <w:snapToGrid w:val="0"/>
              <w:spacing w:line="288" w:lineRule="auto"/>
              <w:rPr>
                <w:rFonts w:ascii="宋体" w:hAnsi="宋体"/>
                <w:sz w:val="24"/>
                <w:u w:val="single"/>
                <w:lang w:val="en-GB"/>
              </w:rPr>
            </w:pPr>
            <w:r>
              <w:rPr>
                <w:rFonts w:ascii="宋体" w:hAnsi="宋体" w:hint="eastAsia"/>
                <w:sz w:val="24"/>
                <w:lang w:val="en-GB"/>
              </w:rPr>
              <w:t xml:space="preserve">节能产品总金额： </w:t>
            </w:r>
            <w:r>
              <w:rPr>
                <w:rFonts w:ascii="宋体" w:hAnsi="宋体"/>
                <w:sz w:val="24"/>
                <w:u w:val="single"/>
                <w:lang w:val="en-GB"/>
              </w:rPr>
              <w:t xml:space="preserve">                      </w:t>
            </w:r>
          </w:p>
          <w:p>
            <w:pPr>
              <w:tabs>
                <w:tab w:val="left" w:pos="7740"/>
              </w:tabs>
              <w:snapToGrid w:val="0"/>
              <w:spacing w:line="288" w:lineRule="auto"/>
              <w:rPr>
                <w:rFonts w:ascii="宋体" w:hAnsi="宋体"/>
                <w:sz w:val="24"/>
                <w:lang w:val="en-GB"/>
              </w:rPr>
            </w:pPr>
            <w:r>
              <w:rPr>
                <w:rFonts w:ascii="宋体" w:hAnsi="宋体"/>
                <w:sz w:val="24"/>
                <w:lang w:val="en-GB"/>
              </w:rPr>
              <w:t xml:space="preserve">   </w:t>
            </w:r>
            <w:r>
              <w:rPr>
                <w:rFonts w:ascii="宋体" w:hAnsi="宋体" w:hint="eastAsia"/>
                <w:sz w:val="24"/>
                <w:lang w:val="en-GB"/>
              </w:rPr>
              <w:t xml:space="preserve"> </w:t>
            </w:r>
            <w:r>
              <w:rPr>
                <w:rFonts w:ascii="宋体" w:hAnsi="宋体"/>
                <w:sz w:val="24"/>
                <w:lang w:val="en-GB"/>
              </w:rPr>
              <w:t xml:space="preserve"> </w:t>
            </w:r>
          </w:p>
          <w:p>
            <w:pPr>
              <w:tabs>
                <w:tab w:val="left" w:pos="7740"/>
              </w:tabs>
              <w:snapToGrid w:val="0"/>
              <w:spacing w:line="288" w:lineRule="auto"/>
              <w:rPr>
                <w:rFonts w:ascii="宋体" w:hAnsi="宋体"/>
                <w:sz w:val="24"/>
                <w:lang w:val="en-GB"/>
              </w:rPr>
            </w:pPr>
            <w:r>
              <w:rPr>
                <w:rFonts w:ascii="宋体" w:hAnsi="宋体" w:hint="eastAsia"/>
                <w:sz w:val="24"/>
                <w:lang w:val="en-GB"/>
              </w:rPr>
              <w:t>节能产品金额占总投标报价比重：</w:t>
            </w:r>
            <w:r>
              <w:rPr>
                <w:rFonts w:ascii="宋体" w:hAnsi="宋体"/>
                <w:sz w:val="24"/>
                <w:u w:val="single"/>
                <w:lang w:val="en-GB"/>
              </w:rPr>
              <w:t xml:space="preserve">              </w:t>
            </w:r>
            <w:r>
              <w:rPr>
                <w:rFonts w:ascii="宋体" w:hAnsi="宋体"/>
                <w:sz w:val="24"/>
                <w:lang w:val="en-GB"/>
              </w:rPr>
              <w:t xml:space="preserve"> </w:t>
            </w:r>
            <w:r>
              <w:rPr>
                <w:rFonts w:ascii="宋体" w:hAnsi="宋体" w:hint="eastAsia"/>
                <w:sz w:val="24"/>
                <w:lang w:val="en-GB"/>
              </w:rPr>
              <w:t>%</w:t>
            </w:r>
            <w:r>
              <w:rPr>
                <w:rFonts w:ascii="宋体" w:hAnsi="宋体"/>
                <w:sz w:val="24"/>
                <w:lang w:val="en-GB"/>
              </w:rPr>
              <w:t xml:space="preserve">            </w:t>
            </w:r>
          </w:p>
        </w:tc>
      </w:tr>
      <w:tr>
        <w:tblPrEx>
          <w:tblW w:w="9396" w:type="dxa"/>
          <w:jc w:val="center"/>
          <w:tblLayout w:type="fixed"/>
          <w:tblCellMar>
            <w:top w:w="0" w:type="dxa"/>
            <w:left w:w="108" w:type="dxa"/>
            <w:bottom w:w="0" w:type="dxa"/>
            <w:right w:w="108" w:type="dxa"/>
          </w:tblCellMar>
        </w:tblPrEx>
        <w:trPr>
          <w:trHeight w:val="475"/>
          <w:jc w:val="center"/>
        </w:trPr>
        <w:tc>
          <w:tcPr>
            <w:tcW w:w="1003" w:type="dxa"/>
            <w:vMerge w:val="restart"/>
            <w:vAlign w:val="center"/>
          </w:tcPr>
          <w:p>
            <w:pPr>
              <w:tabs>
                <w:tab w:val="left" w:pos="7740"/>
              </w:tabs>
              <w:snapToGrid w:val="0"/>
              <w:spacing w:line="288" w:lineRule="auto"/>
              <w:rPr>
                <w:rFonts w:ascii="宋体" w:hAnsi="宋体"/>
                <w:sz w:val="24"/>
                <w:lang w:val="en-GB"/>
              </w:rPr>
            </w:pPr>
            <w:r>
              <w:rPr>
                <w:rFonts w:ascii="宋体" w:hAnsi="宋体" w:hint="eastAsia"/>
                <w:sz w:val="24"/>
                <w:lang w:val="en-GB"/>
              </w:rPr>
              <w:t>环保标志产品</w:t>
            </w:r>
          </w:p>
        </w:tc>
        <w:tc>
          <w:tcPr>
            <w:tcW w:w="2182" w:type="dxa"/>
            <w:vAlign w:val="center"/>
          </w:tcPr>
          <w:p>
            <w:pPr>
              <w:tabs>
                <w:tab w:val="left" w:pos="7740"/>
              </w:tabs>
              <w:snapToGrid w:val="0"/>
              <w:spacing w:line="288" w:lineRule="auto"/>
              <w:jc w:val="center"/>
              <w:rPr>
                <w:rFonts w:ascii="宋体" w:hAnsi="宋体"/>
                <w:sz w:val="24"/>
                <w:lang w:val="en-GB"/>
              </w:rPr>
            </w:pPr>
            <w:r>
              <w:rPr>
                <w:rFonts w:ascii="宋体" w:hAnsi="宋体" w:hint="eastAsia"/>
                <w:sz w:val="24"/>
                <w:lang w:val="en-GB"/>
              </w:rPr>
              <w:t>投标产品</w:t>
            </w:r>
          </w:p>
          <w:p>
            <w:pPr>
              <w:tabs>
                <w:tab w:val="left" w:pos="7740"/>
              </w:tabs>
              <w:snapToGrid w:val="0"/>
              <w:spacing w:line="288" w:lineRule="auto"/>
              <w:jc w:val="center"/>
              <w:rPr>
                <w:rFonts w:ascii="宋体" w:hAnsi="宋体"/>
                <w:sz w:val="24"/>
                <w:lang w:val="en-GB"/>
              </w:rPr>
            </w:pPr>
            <w:r>
              <w:rPr>
                <w:rFonts w:ascii="宋体" w:hAnsi="宋体" w:hint="eastAsia"/>
                <w:sz w:val="24"/>
                <w:lang w:val="en-GB"/>
              </w:rPr>
              <w:t>（规格型号）</w:t>
            </w:r>
          </w:p>
        </w:tc>
        <w:tc>
          <w:tcPr>
            <w:tcW w:w="1663" w:type="dxa"/>
            <w:vAlign w:val="center"/>
          </w:tcPr>
          <w:p>
            <w:pPr>
              <w:tabs>
                <w:tab w:val="left" w:pos="7740"/>
              </w:tabs>
              <w:snapToGrid w:val="0"/>
              <w:spacing w:line="288" w:lineRule="auto"/>
              <w:jc w:val="center"/>
              <w:rPr>
                <w:rFonts w:ascii="宋体" w:hAnsi="宋体"/>
                <w:sz w:val="24"/>
                <w:lang w:val="en-GB"/>
              </w:rPr>
            </w:pPr>
            <w:r>
              <w:rPr>
                <w:rFonts w:ascii="宋体" w:hAnsi="宋体" w:hint="eastAsia"/>
                <w:sz w:val="24"/>
                <w:lang w:val="en-GB"/>
              </w:rPr>
              <w:t>生产者</w:t>
            </w:r>
          </w:p>
          <w:p>
            <w:pPr>
              <w:tabs>
                <w:tab w:val="left" w:pos="7740"/>
              </w:tabs>
              <w:snapToGrid w:val="0"/>
              <w:spacing w:line="288" w:lineRule="auto"/>
              <w:jc w:val="center"/>
              <w:rPr>
                <w:rFonts w:ascii="宋体" w:hAnsi="宋体"/>
                <w:sz w:val="24"/>
                <w:lang w:val="en-GB"/>
              </w:rPr>
            </w:pPr>
            <w:r>
              <w:rPr>
                <w:rFonts w:ascii="宋体" w:hAnsi="宋体" w:hint="eastAsia"/>
                <w:sz w:val="24"/>
                <w:lang w:val="en-GB"/>
              </w:rPr>
              <w:t>（制造商）</w:t>
            </w:r>
          </w:p>
        </w:tc>
        <w:tc>
          <w:tcPr>
            <w:tcW w:w="1977" w:type="dxa"/>
            <w:vAlign w:val="center"/>
          </w:tcPr>
          <w:p>
            <w:pPr>
              <w:tabs>
                <w:tab w:val="left" w:pos="7740"/>
              </w:tabs>
              <w:snapToGrid w:val="0"/>
              <w:spacing w:line="288" w:lineRule="auto"/>
              <w:jc w:val="center"/>
              <w:rPr>
                <w:rFonts w:ascii="宋体" w:hAnsi="宋体"/>
                <w:sz w:val="24"/>
                <w:lang w:val="en-GB"/>
              </w:rPr>
            </w:pPr>
            <w:r>
              <w:rPr>
                <w:rFonts w:ascii="宋体" w:hAnsi="宋体"/>
                <w:sz w:val="24"/>
                <w:lang w:val="en-GB"/>
              </w:rPr>
              <w:t>证书编号</w:t>
            </w:r>
          </w:p>
        </w:tc>
        <w:tc>
          <w:tcPr>
            <w:tcW w:w="2571" w:type="dxa"/>
            <w:tcBorders>
              <w:top w:val="single" w:sz="4" w:space="0" w:color="auto"/>
            </w:tcBorders>
            <w:vAlign w:val="center"/>
          </w:tcPr>
          <w:p>
            <w:pPr>
              <w:tabs>
                <w:tab w:val="left" w:pos="7740"/>
              </w:tabs>
              <w:snapToGrid w:val="0"/>
              <w:spacing w:line="288" w:lineRule="auto"/>
              <w:jc w:val="center"/>
              <w:rPr>
                <w:rFonts w:ascii="宋体" w:hAnsi="宋体"/>
                <w:sz w:val="24"/>
                <w:lang w:val="en-GB"/>
              </w:rPr>
            </w:pPr>
            <w:r>
              <w:rPr>
                <w:rFonts w:ascii="宋体" w:hAnsi="宋体" w:hint="eastAsia"/>
                <w:sz w:val="24"/>
                <w:lang w:val="en-GB"/>
              </w:rPr>
              <w:t>所投环保标志产品金额</w:t>
            </w:r>
          </w:p>
        </w:tc>
      </w:tr>
      <w:tr>
        <w:tblPrEx>
          <w:tblW w:w="9396" w:type="dxa"/>
          <w:jc w:val="center"/>
          <w:tblLayout w:type="fixed"/>
          <w:tblCellMar>
            <w:top w:w="0" w:type="dxa"/>
            <w:left w:w="108" w:type="dxa"/>
            <w:bottom w:w="0" w:type="dxa"/>
            <w:right w:w="108" w:type="dxa"/>
          </w:tblCellMar>
        </w:tblPrEx>
        <w:trPr>
          <w:trHeight w:val="475"/>
          <w:jc w:val="center"/>
        </w:trPr>
        <w:tc>
          <w:tcPr>
            <w:tcW w:w="1003" w:type="dxa"/>
            <w:vMerge/>
            <w:vAlign w:val="center"/>
          </w:tcPr>
          <w:p>
            <w:pPr>
              <w:tabs>
                <w:tab w:val="left" w:pos="7740"/>
              </w:tabs>
              <w:snapToGrid w:val="0"/>
              <w:spacing w:line="288" w:lineRule="auto"/>
              <w:rPr>
                <w:rFonts w:ascii="宋体" w:hAnsi="宋体"/>
                <w:sz w:val="24"/>
                <w:lang w:val="en-GB"/>
              </w:rPr>
            </w:pPr>
          </w:p>
        </w:tc>
        <w:tc>
          <w:tcPr>
            <w:tcW w:w="2182" w:type="dxa"/>
            <w:vAlign w:val="center"/>
          </w:tcPr>
          <w:p>
            <w:pPr>
              <w:tabs>
                <w:tab w:val="left" w:pos="7740"/>
              </w:tabs>
              <w:snapToGrid w:val="0"/>
              <w:spacing w:line="288" w:lineRule="auto"/>
              <w:rPr>
                <w:rFonts w:ascii="宋体" w:hAnsi="宋体"/>
                <w:sz w:val="24"/>
                <w:lang w:val="en-GB"/>
              </w:rPr>
            </w:pPr>
          </w:p>
        </w:tc>
        <w:tc>
          <w:tcPr>
            <w:tcW w:w="1663" w:type="dxa"/>
            <w:vAlign w:val="center"/>
          </w:tcPr>
          <w:p>
            <w:pPr>
              <w:tabs>
                <w:tab w:val="left" w:pos="7740"/>
              </w:tabs>
              <w:snapToGrid w:val="0"/>
              <w:spacing w:line="288" w:lineRule="auto"/>
              <w:rPr>
                <w:rFonts w:ascii="宋体" w:hAnsi="宋体"/>
                <w:bCs/>
                <w:sz w:val="24"/>
                <w:lang w:val="en-GB"/>
              </w:rPr>
            </w:pPr>
          </w:p>
        </w:tc>
        <w:tc>
          <w:tcPr>
            <w:tcW w:w="1977" w:type="dxa"/>
            <w:vAlign w:val="center"/>
          </w:tcPr>
          <w:p>
            <w:pPr>
              <w:tabs>
                <w:tab w:val="left" w:pos="7740"/>
              </w:tabs>
              <w:snapToGrid w:val="0"/>
              <w:spacing w:line="288" w:lineRule="auto"/>
              <w:rPr>
                <w:rFonts w:ascii="宋体" w:hAnsi="宋体"/>
                <w:bCs/>
                <w:sz w:val="24"/>
                <w:lang w:val="en-GB"/>
              </w:rPr>
            </w:pPr>
          </w:p>
        </w:tc>
        <w:tc>
          <w:tcPr>
            <w:tcW w:w="2571" w:type="dxa"/>
            <w:tcBorders>
              <w:top w:val="single" w:sz="4" w:space="0" w:color="auto"/>
            </w:tcBorders>
            <w:vAlign w:val="center"/>
          </w:tcPr>
          <w:p>
            <w:pPr>
              <w:tabs>
                <w:tab w:val="left" w:pos="7740"/>
              </w:tabs>
              <w:snapToGrid w:val="0"/>
              <w:spacing w:line="288" w:lineRule="auto"/>
              <w:rPr>
                <w:rFonts w:ascii="宋体" w:hAnsi="宋体"/>
                <w:bCs/>
                <w:sz w:val="24"/>
                <w:lang w:val="en-GB"/>
              </w:rPr>
            </w:pPr>
          </w:p>
        </w:tc>
      </w:tr>
      <w:tr>
        <w:tblPrEx>
          <w:tblW w:w="9396" w:type="dxa"/>
          <w:jc w:val="center"/>
          <w:tblLayout w:type="fixed"/>
          <w:tblCellMar>
            <w:top w:w="0" w:type="dxa"/>
            <w:left w:w="108" w:type="dxa"/>
            <w:bottom w:w="0" w:type="dxa"/>
            <w:right w:w="108" w:type="dxa"/>
          </w:tblCellMar>
        </w:tblPrEx>
        <w:trPr>
          <w:trHeight w:val="475"/>
          <w:jc w:val="center"/>
        </w:trPr>
        <w:tc>
          <w:tcPr>
            <w:tcW w:w="1003" w:type="dxa"/>
            <w:vMerge/>
            <w:vAlign w:val="center"/>
          </w:tcPr>
          <w:p>
            <w:pPr>
              <w:tabs>
                <w:tab w:val="left" w:pos="7740"/>
              </w:tabs>
              <w:snapToGrid w:val="0"/>
              <w:spacing w:line="288" w:lineRule="auto"/>
              <w:rPr>
                <w:rFonts w:ascii="宋体" w:hAnsi="宋体"/>
                <w:sz w:val="24"/>
                <w:lang w:val="en-GB"/>
              </w:rPr>
            </w:pPr>
          </w:p>
        </w:tc>
        <w:tc>
          <w:tcPr>
            <w:tcW w:w="2182" w:type="dxa"/>
            <w:vAlign w:val="center"/>
          </w:tcPr>
          <w:p>
            <w:pPr>
              <w:tabs>
                <w:tab w:val="left" w:pos="7740"/>
              </w:tabs>
              <w:snapToGrid w:val="0"/>
              <w:spacing w:line="288" w:lineRule="auto"/>
              <w:rPr>
                <w:rFonts w:ascii="宋体" w:hAnsi="宋体"/>
                <w:sz w:val="24"/>
                <w:lang w:val="en-GB"/>
              </w:rPr>
            </w:pPr>
          </w:p>
        </w:tc>
        <w:tc>
          <w:tcPr>
            <w:tcW w:w="1663" w:type="dxa"/>
            <w:vAlign w:val="center"/>
          </w:tcPr>
          <w:p>
            <w:pPr>
              <w:tabs>
                <w:tab w:val="left" w:pos="7740"/>
              </w:tabs>
              <w:snapToGrid w:val="0"/>
              <w:spacing w:line="288" w:lineRule="auto"/>
              <w:rPr>
                <w:rFonts w:ascii="宋体" w:hAnsi="宋体"/>
                <w:bCs/>
                <w:sz w:val="24"/>
                <w:lang w:val="en-GB"/>
              </w:rPr>
            </w:pPr>
          </w:p>
        </w:tc>
        <w:tc>
          <w:tcPr>
            <w:tcW w:w="1977" w:type="dxa"/>
            <w:vAlign w:val="center"/>
          </w:tcPr>
          <w:p>
            <w:pPr>
              <w:tabs>
                <w:tab w:val="left" w:pos="7740"/>
              </w:tabs>
              <w:snapToGrid w:val="0"/>
              <w:spacing w:line="288" w:lineRule="auto"/>
              <w:rPr>
                <w:rFonts w:ascii="宋体" w:hAnsi="宋体"/>
                <w:bCs/>
                <w:sz w:val="24"/>
                <w:lang w:val="en-GB"/>
              </w:rPr>
            </w:pPr>
          </w:p>
        </w:tc>
        <w:tc>
          <w:tcPr>
            <w:tcW w:w="2571" w:type="dxa"/>
            <w:vAlign w:val="center"/>
          </w:tcPr>
          <w:p>
            <w:pPr>
              <w:tabs>
                <w:tab w:val="left" w:pos="7740"/>
              </w:tabs>
              <w:snapToGrid w:val="0"/>
              <w:spacing w:line="288" w:lineRule="auto"/>
              <w:rPr>
                <w:rFonts w:ascii="宋体" w:hAnsi="宋体"/>
                <w:bCs/>
                <w:sz w:val="24"/>
                <w:lang w:val="en-GB"/>
              </w:rPr>
            </w:pPr>
          </w:p>
        </w:tc>
      </w:tr>
      <w:tr>
        <w:tblPrEx>
          <w:tblW w:w="9396" w:type="dxa"/>
          <w:jc w:val="center"/>
          <w:tblLayout w:type="fixed"/>
          <w:tblCellMar>
            <w:top w:w="0" w:type="dxa"/>
            <w:left w:w="108" w:type="dxa"/>
            <w:bottom w:w="0" w:type="dxa"/>
            <w:right w:w="108" w:type="dxa"/>
          </w:tblCellMar>
        </w:tblPrEx>
        <w:trPr>
          <w:trHeight w:val="1132"/>
          <w:jc w:val="center"/>
        </w:trPr>
        <w:tc>
          <w:tcPr>
            <w:tcW w:w="1003" w:type="dxa"/>
            <w:vMerge/>
            <w:tcBorders>
              <w:bottom w:val="single" w:sz="12" w:space="0" w:color="auto"/>
            </w:tcBorders>
            <w:vAlign w:val="center"/>
          </w:tcPr>
          <w:p>
            <w:pPr>
              <w:tabs>
                <w:tab w:val="left" w:pos="7740"/>
              </w:tabs>
              <w:snapToGrid w:val="0"/>
              <w:spacing w:line="288" w:lineRule="auto"/>
              <w:rPr>
                <w:rFonts w:ascii="宋体" w:hAnsi="宋体"/>
                <w:sz w:val="24"/>
                <w:lang w:val="en-GB"/>
              </w:rPr>
            </w:pPr>
          </w:p>
        </w:tc>
        <w:tc>
          <w:tcPr>
            <w:tcW w:w="8393" w:type="dxa"/>
            <w:gridSpan w:val="4"/>
            <w:tcBorders>
              <w:bottom w:val="single" w:sz="12" w:space="0" w:color="auto"/>
            </w:tcBorders>
            <w:vAlign w:val="center"/>
          </w:tcPr>
          <w:p>
            <w:pPr>
              <w:tabs>
                <w:tab w:val="left" w:pos="7740"/>
              </w:tabs>
              <w:snapToGrid w:val="0"/>
              <w:spacing w:line="288" w:lineRule="auto"/>
              <w:rPr>
                <w:rFonts w:ascii="宋体" w:hAnsi="宋体"/>
                <w:sz w:val="24"/>
                <w:lang w:val="en-GB"/>
              </w:rPr>
            </w:pPr>
          </w:p>
          <w:p>
            <w:pPr>
              <w:tabs>
                <w:tab w:val="left" w:pos="7740"/>
              </w:tabs>
              <w:snapToGrid w:val="0"/>
              <w:spacing w:line="288" w:lineRule="auto"/>
              <w:rPr>
                <w:rFonts w:ascii="宋体" w:hAnsi="宋体"/>
                <w:sz w:val="24"/>
                <w:u w:val="single"/>
                <w:lang w:val="en-GB"/>
              </w:rPr>
            </w:pPr>
            <w:r>
              <w:rPr>
                <w:rFonts w:ascii="宋体" w:hAnsi="宋体" w:hint="eastAsia"/>
                <w:sz w:val="24"/>
                <w:lang w:val="en-GB"/>
              </w:rPr>
              <w:t xml:space="preserve">环保标志产品总金额： </w:t>
            </w:r>
            <w:r>
              <w:rPr>
                <w:rFonts w:ascii="宋体" w:hAnsi="宋体"/>
                <w:sz w:val="24"/>
                <w:u w:val="single"/>
                <w:lang w:val="en-GB"/>
              </w:rPr>
              <w:t xml:space="preserve">                      </w:t>
            </w:r>
          </w:p>
          <w:p>
            <w:pPr>
              <w:tabs>
                <w:tab w:val="left" w:pos="7740"/>
              </w:tabs>
              <w:snapToGrid w:val="0"/>
              <w:spacing w:line="288" w:lineRule="auto"/>
              <w:rPr>
                <w:rFonts w:ascii="宋体" w:hAnsi="宋体"/>
                <w:sz w:val="24"/>
                <w:lang w:val="en-GB"/>
              </w:rPr>
            </w:pPr>
            <w:r>
              <w:rPr>
                <w:rFonts w:ascii="宋体" w:hAnsi="宋体"/>
                <w:sz w:val="24"/>
                <w:lang w:val="en-GB"/>
              </w:rPr>
              <w:t xml:space="preserve">   </w:t>
            </w:r>
            <w:r>
              <w:rPr>
                <w:rFonts w:ascii="宋体" w:hAnsi="宋体" w:hint="eastAsia"/>
                <w:sz w:val="24"/>
                <w:lang w:val="en-GB"/>
              </w:rPr>
              <w:t xml:space="preserve"> </w:t>
            </w:r>
            <w:r>
              <w:rPr>
                <w:rFonts w:ascii="宋体" w:hAnsi="宋体"/>
                <w:sz w:val="24"/>
                <w:lang w:val="en-GB"/>
              </w:rPr>
              <w:t xml:space="preserve"> </w:t>
            </w:r>
          </w:p>
          <w:p>
            <w:pPr>
              <w:tabs>
                <w:tab w:val="left" w:pos="7740"/>
              </w:tabs>
              <w:snapToGrid w:val="0"/>
              <w:spacing w:line="288" w:lineRule="auto"/>
              <w:rPr>
                <w:rFonts w:ascii="宋体" w:hAnsi="宋体"/>
                <w:sz w:val="24"/>
                <w:lang w:val="en-GB"/>
              </w:rPr>
            </w:pPr>
            <w:r>
              <w:rPr>
                <w:rFonts w:ascii="宋体" w:hAnsi="宋体" w:hint="eastAsia"/>
                <w:sz w:val="24"/>
                <w:lang w:val="en-GB"/>
              </w:rPr>
              <w:t>环保标志产品占总投标报价比重：</w:t>
            </w:r>
            <w:r>
              <w:rPr>
                <w:rFonts w:ascii="宋体" w:hAnsi="宋体"/>
                <w:sz w:val="24"/>
                <w:u w:val="single"/>
                <w:lang w:val="en-GB"/>
              </w:rPr>
              <w:t xml:space="preserve">              </w:t>
            </w:r>
            <w:r>
              <w:rPr>
                <w:rFonts w:ascii="宋体" w:hAnsi="宋体"/>
                <w:sz w:val="24"/>
                <w:lang w:val="en-GB"/>
              </w:rPr>
              <w:t xml:space="preserve"> </w:t>
            </w:r>
            <w:r>
              <w:rPr>
                <w:rFonts w:ascii="宋体" w:hAnsi="宋体" w:hint="eastAsia"/>
                <w:sz w:val="24"/>
                <w:lang w:val="en-GB"/>
              </w:rPr>
              <w:t>%</w:t>
            </w:r>
            <w:r>
              <w:rPr>
                <w:rFonts w:ascii="宋体" w:hAnsi="宋体"/>
                <w:sz w:val="24"/>
                <w:lang w:val="en-GB"/>
              </w:rPr>
              <w:t xml:space="preserve">            </w:t>
            </w:r>
          </w:p>
        </w:tc>
      </w:tr>
    </w:tbl>
    <w:p>
      <w:pPr>
        <w:tabs>
          <w:tab w:val="left" w:pos="7740"/>
        </w:tabs>
        <w:adjustRightInd w:val="0"/>
        <w:snapToGrid w:val="0"/>
        <w:spacing w:line="360" w:lineRule="auto"/>
        <w:rPr>
          <w:rFonts w:ascii="宋体" w:hAnsi="宋体"/>
          <w:sz w:val="24"/>
          <w:lang w:val="en-GB"/>
        </w:rPr>
      </w:pPr>
      <w:r>
        <w:rPr>
          <w:rFonts w:ascii="宋体" w:hAnsi="宋体" w:hint="eastAsia"/>
          <w:sz w:val="24"/>
          <w:lang w:val="en-GB"/>
        </w:rPr>
        <w:t>说明</w:t>
      </w:r>
    </w:p>
    <w:p>
      <w:pPr>
        <w:numPr>
          <w:ilvl w:val="0"/>
          <w:numId w:val="74"/>
        </w:numPr>
        <w:adjustRightInd w:val="0"/>
        <w:snapToGrid w:val="0"/>
        <w:spacing w:line="360" w:lineRule="auto"/>
        <w:textAlignment w:val="baseline"/>
        <w:rPr>
          <w:rFonts w:ascii="宋体" w:hAnsi="宋体"/>
          <w:bCs/>
          <w:sz w:val="24"/>
        </w:rPr>
      </w:pPr>
      <w:r>
        <w:rPr>
          <w:rFonts w:ascii="宋体" w:hAnsi="宋体" w:hint="eastAsia"/>
          <w:bCs/>
          <w:sz w:val="24"/>
        </w:rPr>
        <w:t>属于品目清单范围内的节能或环境标志产品，应当提供国家确定的认证机构出具的、处于有效期之内的节能产品或环境标志产品认证证书扫描件。</w:t>
      </w:r>
    </w:p>
    <w:p>
      <w:pPr>
        <w:numPr>
          <w:ilvl w:val="0"/>
          <w:numId w:val="74"/>
        </w:numPr>
        <w:adjustRightInd w:val="0"/>
        <w:snapToGrid w:val="0"/>
        <w:spacing w:line="360" w:lineRule="auto"/>
        <w:textAlignment w:val="baseline"/>
        <w:rPr>
          <w:rFonts w:ascii="宋体" w:hAnsi="宋体"/>
          <w:sz w:val="24"/>
        </w:rPr>
      </w:pPr>
      <w:r>
        <w:rPr>
          <w:rFonts w:ascii="宋体" w:hAnsi="宋体" w:hint="eastAsia"/>
          <w:bCs/>
          <w:sz w:val="24"/>
        </w:rPr>
        <w:t>未提供产品认证证书不予价格扣除。</w:t>
      </w:r>
    </w:p>
    <w:p>
      <w:pPr>
        <w:spacing w:line="500" w:lineRule="exact"/>
        <w:rPr>
          <w:spacing w:val="4"/>
          <w:sz w:val="24"/>
        </w:rPr>
      </w:pPr>
    </w:p>
    <w:p>
      <w:bookmarkEnd w:id="158"/>
      <w:bookmarkEnd w:id="159"/>
      <w:bookmarkEnd w:id="160"/>
      <w:bookmarkStart w:id="180" w:name="_Toc24108"/>
      <w:bookmarkStart w:id="181" w:name="_Toc30664876"/>
      <w:bookmarkStart w:id="182" w:name="_Toc275865606"/>
      <w:bookmarkStart w:id="183" w:name="_Toc435514855"/>
      <w:bookmarkStart w:id="184" w:name="_Toc435515295"/>
      <w:r>
        <w:rPr>
          <w:rFonts w:hint="eastAsia"/>
        </w:rPr>
        <w:br w:type="page"/>
      </w:r>
    </w:p>
    <w:p>
      <w:pPr>
        <w:pStyle w:val="Heading2"/>
        <w:numPr>
          <w:ilvl w:val="0"/>
          <w:numId w:val="72"/>
        </w:numPr>
        <w:spacing w:line="240" w:lineRule="auto"/>
        <w:jc w:val="center"/>
        <w:rPr>
          <w:bCs w:val="0"/>
        </w:rPr>
      </w:pPr>
      <w:bookmarkStart w:id="185" w:name="_Toc17670"/>
      <w:bookmarkStart w:id="186" w:name="_Toc256000029"/>
      <w:r>
        <w:rPr>
          <w:rFonts w:hint="eastAsia"/>
          <w:bCs w:val="0"/>
        </w:rPr>
        <w:t>投 标 函</w:t>
      </w:r>
      <w:bookmarkEnd w:id="186"/>
      <w:bookmarkEnd w:id="180"/>
      <w:bookmarkEnd w:id="181"/>
      <w:bookmarkEnd w:id="185"/>
    </w:p>
    <w:p>
      <w:pPr>
        <w:spacing w:line="360" w:lineRule="auto"/>
        <w:rPr>
          <w:rFonts w:ascii="宋体" w:hAnsi="宋体"/>
          <w:b/>
          <w:sz w:val="24"/>
        </w:rPr>
      </w:pPr>
      <w:r>
        <w:rPr>
          <w:rFonts w:ascii="宋体" w:hAnsi="宋体" w:hint="eastAsia"/>
          <w:b/>
          <w:sz w:val="24"/>
        </w:rPr>
        <w:t>采联国际招标采购集团有限公司：</w:t>
      </w:r>
    </w:p>
    <w:p>
      <w:pPr>
        <w:spacing w:line="360" w:lineRule="auto"/>
        <w:ind w:left="105" w:firstLine="374" w:leftChars="50" w:firstLineChars="178"/>
        <w:rPr>
          <w:rFonts w:ascii="宋体" w:hAnsi="宋体"/>
          <w:sz w:val="24"/>
        </w:rPr>
      </w:pPr>
      <w:r>
        <w:rPr>
          <w:rFonts w:ascii="宋体" w:hAnsi="宋体" w:hint="eastAsia"/>
          <w:sz w:val="24"/>
        </w:rPr>
        <w:t>我方确认收到贵方</w:t>
      </w:r>
      <w:r>
        <w:rPr>
          <w:rFonts w:ascii="宋体" w:hAnsi="宋体" w:hint="eastAsia"/>
          <w:kern w:val="28"/>
          <w:sz w:val="24"/>
          <w:u w:val="single"/>
        </w:rPr>
        <w:t xml:space="preserve">        </w:t>
      </w:r>
      <w:r>
        <w:rPr>
          <w:rFonts w:ascii="宋体" w:hAnsi="宋体" w:hint="eastAsia"/>
          <w:kern w:val="28"/>
          <w:sz w:val="24"/>
          <w:u w:val="single"/>
          <w:lang w:eastAsia="zh-CN"/>
        </w:rPr>
        <w:t>2023-2024年基准年碳核查全流程技术支持服务</w:t>
      </w:r>
      <w:r>
        <w:rPr>
          <w:rFonts w:ascii="宋体" w:hAnsi="宋体" w:hint="eastAsia"/>
          <w:kern w:val="28"/>
          <w:sz w:val="24"/>
          <w:u w:val="single"/>
        </w:rPr>
        <w:t xml:space="preserve">      </w:t>
      </w:r>
      <w:r>
        <w:rPr>
          <w:rFonts w:ascii="宋体" w:hAnsi="宋体" w:hint="eastAsia"/>
          <w:kern w:val="28"/>
          <w:sz w:val="24"/>
        </w:rPr>
        <w:t>采购</w:t>
      </w:r>
      <w:r>
        <w:rPr>
          <w:rFonts w:ascii="宋体" w:hAnsi="宋体" w:hint="eastAsia"/>
          <w:sz w:val="24"/>
        </w:rPr>
        <w:t>货物及相关服务的招标文件（项目编号：</w:t>
      </w:r>
      <w:r>
        <w:rPr>
          <w:rFonts w:ascii="宋体" w:hAnsi="宋体" w:hint="eastAsia"/>
          <w:sz w:val="24"/>
          <w:lang w:eastAsia="zh-CN"/>
        </w:rPr>
        <w:t>SZDL2022002374（CLF0122SZ17ZC77）</w:t>
      </w:r>
      <w:r>
        <w:rPr>
          <w:rFonts w:ascii="宋体" w:hAnsi="宋体" w:hint="eastAsia"/>
          <w:sz w:val="24"/>
        </w:rPr>
        <w:t>），</w:t>
      </w:r>
      <w:r>
        <w:rPr>
          <w:rFonts w:ascii="宋体" w:hAnsi="宋体" w:hint="eastAsia"/>
          <w:sz w:val="24"/>
          <w:u w:val="single"/>
        </w:rPr>
        <w:t xml:space="preserve"> (投标人名称、地址)。</w:t>
      </w:r>
      <w:r>
        <w:rPr>
          <w:rFonts w:ascii="宋体" w:hAnsi="宋体" w:hint="eastAsia"/>
          <w:sz w:val="24"/>
        </w:rPr>
        <w:t>作为投标人已正式授权《法定代表人授权委托书》中的授权代表或法定代表人为我方签名代表，签名代表在此声明并同意：</w:t>
      </w:r>
    </w:p>
    <w:p>
      <w:pPr>
        <w:numPr>
          <w:ilvl w:val="0"/>
          <w:numId w:val="75"/>
        </w:numPr>
        <w:tabs>
          <w:tab w:val="clear" w:pos="780"/>
        </w:tabs>
        <w:snapToGrid w:val="0"/>
        <w:spacing w:line="360" w:lineRule="auto"/>
        <w:ind w:left="426"/>
        <w:rPr>
          <w:rFonts w:ascii="宋体" w:hAnsi="宋体"/>
          <w:sz w:val="24"/>
        </w:rPr>
      </w:pPr>
      <w:r>
        <w:rPr>
          <w:rFonts w:ascii="宋体" w:hAnsi="宋体" w:hint="eastAsia"/>
          <w:sz w:val="24"/>
        </w:rPr>
        <w:t>我们愿意遵守采购代理机构招标文件的各项规定，自愿参加投标，并已清楚招标文件的要求及有关文件规定，并严格按照招标文件的规定履行全部责任和义务。</w:t>
      </w:r>
    </w:p>
    <w:p>
      <w:pPr>
        <w:numPr>
          <w:ilvl w:val="0"/>
          <w:numId w:val="75"/>
        </w:numPr>
        <w:tabs>
          <w:tab w:val="clear" w:pos="780"/>
        </w:tabs>
        <w:snapToGrid w:val="0"/>
        <w:spacing w:line="360" w:lineRule="auto"/>
        <w:ind w:left="426"/>
        <w:rPr>
          <w:rFonts w:ascii="宋体" w:hAnsi="宋体"/>
          <w:sz w:val="24"/>
        </w:rPr>
      </w:pPr>
      <w:r>
        <w:rPr>
          <w:rFonts w:ascii="宋体" w:hAnsi="宋体" w:hint="eastAsia"/>
          <w:sz w:val="24"/>
        </w:rPr>
        <w:t>我们同意本投标文件的投标有效期从提交投标文件的截止之日起</w:t>
      </w:r>
      <w:r>
        <w:rPr>
          <w:rFonts w:ascii="宋体" w:hAnsi="宋体" w:hint="eastAsia"/>
          <w:b/>
          <w:sz w:val="24"/>
          <w:u w:val="single"/>
        </w:rPr>
        <w:t>90</w:t>
      </w:r>
      <w:r>
        <w:rPr>
          <w:rFonts w:ascii="宋体" w:hAnsi="宋体" w:hint="eastAsia"/>
          <w:b/>
          <w:sz w:val="24"/>
        </w:rPr>
        <w:t>日历日内有效</w:t>
      </w:r>
      <w:r>
        <w:rPr>
          <w:rFonts w:ascii="宋体" w:hAnsi="宋体" w:hint="eastAsia"/>
          <w:sz w:val="24"/>
        </w:rPr>
        <w:t>。</w:t>
      </w:r>
    </w:p>
    <w:p>
      <w:pPr>
        <w:numPr>
          <w:ilvl w:val="0"/>
          <w:numId w:val="75"/>
        </w:numPr>
        <w:tabs>
          <w:tab w:val="clear" w:pos="780"/>
        </w:tabs>
        <w:snapToGrid w:val="0"/>
        <w:spacing w:line="360" w:lineRule="auto"/>
        <w:ind w:left="426"/>
        <w:rPr>
          <w:rFonts w:ascii="宋体" w:hAnsi="宋体"/>
          <w:sz w:val="24"/>
        </w:rPr>
      </w:pPr>
      <w:r>
        <w:rPr>
          <w:rFonts w:ascii="宋体" w:hAnsi="宋体" w:hint="eastAsia"/>
          <w:sz w:val="24"/>
        </w:rPr>
        <w:t>我们承诺从本项目投标截止时间起，本投标始终有效且不予撤销已递交的投标文件。</w:t>
      </w:r>
    </w:p>
    <w:p>
      <w:pPr>
        <w:numPr>
          <w:ilvl w:val="0"/>
          <w:numId w:val="75"/>
        </w:numPr>
        <w:tabs>
          <w:tab w:val="clear" w:pos="780"/>
        </w:tabs>
        <w:snapToGrid w:val="0"/>
        <w:spacing w:line="360" w:lineRule="auto"/>
        <w:ind w:left="426"/>
        <w:rPr>
          <w:rFonts w:ascii="宋体" w:hAnsi="宋体"/>
          <w:sz w:val="24"/>
        </w:rPr>
      </w:pPr>
      <w:r>
        <w:rPr>
          <w:rFonts w:ascii="宋体" w:hAnsi="宋体" w:hint="eastAsia"/>
          <w:sz w:val="24"/>
        </w:rPr>
        <w:t>我们已经详细地阅读并完全明白了全部招标文件及附件，包括澄清（如有）及参考文件，我们完全理解本招标文件的要求，</w:t>
      </w:r>
      <w:r>
        <w:rPr>
          <w:rFonts w:ascii="宋体" w:hint="eastAsia"/>
          <w:sz w:val="24"/>
        </w:rPr>
        <w:t>我们同意放弃对招标文件提出不明或误解的一切权利</w:t>
      </w:r>
      <w:r>
        <w:rPr>
          <w:rFonts w:ascii="宋体" w:hAnsi="宋体" w:hint="eastAsia"/>
          <w:sz w:val="24"/>
        </w:rPr>
        <w:t>。</w:t>
      </w:r>
    </w:p>
    <w:p>
      <w:pPr>
        <w:numPr>
          <w:ilvl w:val="0"/>
          <w:numId w:val="75"/>
        </w:numPr>
        <w:tabs>
          <w:tab w:val="clear" w:pos="780"/>
        </w:tabs>
        <w:snapToGrid w:val="0"/>
        <w:spacing w:line="360" w:lineRule="auto"/>
        <w:ind w:left="426"/>
        <w:rPr>
          <w:rFonts w:ascii="宋体" w:hAnsi="宋体"/>
          <w:sz w:val="24"/>
        </w:rPr>
      </w:pPr>
      <w:r>
        <w:rPr>
          <w:rFonts w:ascii="宋体" w:hAnsi="宋体" w:hint="eastAsia"/>
          <w:sz w:val="24"/>
        </w:rPr>
        <w:t>我们同意提供</w:t>
      </w:r>
      <w:r>
        <w:rPr>
          <w:rFonts w:ascii="宋体" w:hAnsi="宋体" w:cs="宋体" w:hint="eastAsia"/>
          <w:sz w:val="24"/>
          <w:lang w:eastAsia="zh-TW"/>
        </w:rPr>
        <w:t>采购人或者采购代理机构</w:t>
      </w:r>
      <w:r>
        <w:rPr>
          <w:rFonts w:ascii="宋体" w:hAnsi="宋体" w:hint="eastAsia"/>
          <w:sz w:val="24"/>
        </w:rPr>
        <w:t>与评审委员会要求的有关投标的一切数据或资料。</w:t>
      </w:r>
    </w:p>
    <w:p>
      <w:pPr>
        <w:numPr>
          <w:ilvl w:val="0"/>
          <w:numId w:val="75"/>
        </w:numPr>
        <w:tabs>
          <w:tab w:val="clear" w:pos="780"/>
        </w:tabs>
        <w:snapToGrid w:val="0"/>
        <w:spacing w:line="360" w:lineRule="auto"/>
        <w:ind w:left="426"/>
        <w:rPr>
          <w:rFonts w:ascii="宋体" w:hAnsi="宋体"/>
          <w:sz w:val="24"/>
        </w:rPr>
      </w:pPr>
      <w:r>
        <w:rPr>
          <w:rFonts w:ascii="宋体" w:hAnsi="宋体" w:hint="eastAsia"/>
          <w:sz w:val="24"/>
        </w:rPr>
        <w:t>我们理解</w:t>
      </w:r>
      <w:r>
        <w:rPr>
          <w:rFonts w:ascii="宋体" w:hAnsi="宋体" w:cs="宋体" w:hint="eastAsia"/>
          <w:sz w:val="24"/>
          <w:lang w:eastAsia="zh-TW"/>
        </w:rPr>
        <w:t>采购人或者采购代理机构</w:t>
      </w:r>
      <w:r>
        <w:rPr>
          <w:rFonts w:ascii="宋体" w:hAnsi="宋体" w:hint="eastAsia"/>
          <w:sz w:val="24"/>
        </w:rPr>
        <w:t>与评审委员会并无义务必须接受最低报价的投标或其它任何投标，完全理解采购代理机构拒绝迟到的任何投标和最低投标报价不是被授予中标的唯一条件。</w:t>
      </w:r>
    </w:p>
    <w:p>
      <w:pPr>
        <w:numPr>
          <w:ilvl w:val="0"/>
          <w:numId w:val="75"/>
        </w:numPr>
        <w:tabs>
          <w:tab w:val="clear" w:pos="780"/>
        </w:tabs>
        <w:snapToGrid w:val="0"/>
        <w:spacing w:line="360" w:lineRule="auto"/>
        <w:ind w:left="426"/>
        <w:rPr>
          <w:rFonts w:ascii="宋体" w:hAnsi="宋体"/>
          <w:sz w:val="24"/>
        </w:rPr>
      </w:pPr>
      <w:r>
        <w:rPr>
          <w:rFonts w:ascii="宋体" w:hAnsi="宋体" w:hint="eastAsia"/>
          <w:sz w:val="24"/>
        </w:rPr>
        <w:t xml:space="preserve">如果我们未对招标文件全部要求作出实质性响应，则完全同意并接受按无效投标处理。 </w:t>
      </w:r>
    </w:p>
    <w:p>
      <w:pPr>
        <w:numPr>
          <w:ilvl w:val="0"/>
          <w:numId w:val="75"/>
        </w:numPr>
        <w:tabs>
          <w:tab w:val="clear" w:pos="780"/>
        </w:tabs>
        <w:snapToGrid w:val="0"/>
        <w:spacing w:line="360" w:lineRule="auto"/>
        <w:ind w:left="426"/>
        <w:rPr>
          <w:rFonts w:ascii="宋体" w:hAnsi="宋体"/>
          <w:sz w:val="24"/>
        </w:rPr>
      </w:pPr>
      <w:r>
        <w:rPr>
          <w:rFonts w:ascii="宋体" w:hAnsi="宋体" w:hint="eastAsia"/>
          <w:sz w:val="24"/>
        </w:rPr>
        <w:t>我们证明提交的一切文件，无论是原件还是复印件均为准确、真实、有效、完整的，绝无任何虚假、伪造或者夸大。我们在此郑重承诺：在本次招标采购活动中，如有违法、违规、弄虚作假行为，所造成的损失、不良后果及法律责任，一律由本单位（公司）（企业）承担。</w:t>
      </w:r>
    </w:p>
    <w:p>
      <w:pPr>
        <w:numPr>
          <w:ilvl w:val="0"/>
          <w:numId w:val="75"/>
        </w:numPr>
        <w:tabs>
          <w:tab w:val="clear" w:pos="780"/>
        </w:tabs>
        <w:snapToGrid w:val="0"/>
        <w:spacing w:line="360" w:lineRule="auto"/>
        <w:ind w:left="426"/>
        <w:rPr>
          <w:rFonts w:ascii="宋体" w:hAnsi="宋体"/>
          <w:sz w:val="24"/>
        </w:rPr>
      </w:pPr>
      <w:r>
        <w:rPr>
          <w:rFonts w:ascii="宋体" w:hAnsi="宋体" w:hint="eastAsia"/>
          <w:sz w:val="24"/>
        </w:rPr>
        <w:t>如果我们提供的声明或承诺不真实，则完全同意认定为我司提供虚假材料，并同意作相应处理。</w:t>
      </w:r>
    </w:p>
    <w:p>
      <w:pPr>
        <w:numPr>
          <w:ilvl w:val="0"/>
          <w:numId w:val="75"/>
        </w:numPr>
        <w:tabs>
          <w:tab w:val="clear" w:pos="780"/>
        </w:tabs>
        <w:snapToGrid w:val="0"/>
        <w:spacing w:line="360" w:lineRule="auto"/>
        <w:ind w:left="426"/>
        <w:rPr>
          <w:rFonts w:ascii="宋体" w:hAnsi="宋体"/>
          <w:sz w:val="24"/>
        </w:rPr>
      </w:pPr>
      <w:r>
        <w:rPr>
          <w:rFonts w:ascii="宋体" w:hAnsi="宋体" w:hint="eastAsia"/>
          <w:sz w:val="24"/>
        </w:rPr>
        <w:t>我们是依法注册的法人，在法律、财务及运作上完全独立于本项目采购人、用户单位（如有）和采购代理机构。</w:t>
      </w:r>
    </w:p>
    <w:p>
      <w:pPr>
        <w:numPr>
          <w:ilvl w:val="0"/>
          <w:numId w:val="75"/>
        </w:numPr>
        <w:tabs>
          <w:tab w:val="clear" w:pos="780"/>
        </w:tabs>
        <w:snapToGrid w:val="0"/>
        <w:spacing w:line="360" w:lineRule="auto"/>
        <w:ind w:left="426"/>
        <w:rPr>
          <w:rFonts w:ascii="宋体" w:hAnsi="宋体"/>
          <w:sz w:val="24"/>
        </w:rPr>
      </w:pPr>
      <w:r>
        <w:rPr>
          <w:rFonts w:ascii="宋体" w:hAnsi="宋体" w:hint="eastAsia"/>
          <w:sz w:val="24"/>
        </w:rPr>
        <w:t>与本投标有关的一切正式信函请寄：</w:t>
      </w:r>
      <w:r>
        <w:rPr>
          <w:rFonts w:ascii="宋体" w:hAnsi="宋体" w:hint="eastAsia"/>
          <w:sz w:val="24"/>
          <w:u w:val="single"/>
        </w:rPr>
        <w:t xml:space="preserve">      地址      </w:t>
      </w:r>
    </w:p>
    <w:p>
      <w:pPr>
        <w:rPr>
          <w:rFonts w:ascii="宋体"/>
          <w:sz w:val="24"/>
        </w:rPr>
      </w:pPr>
    </w:p>
    <w:p>
      <w:pPr>
        <w:autoSpaceDE w:val="0"/>
        <w:autoSpaceDN w:val="0"/>
        <w:adjustRightInd w:val="0"/>
        <w:spacing w:line="360" w:lineRule="auto"/>
        <w:ind w:left="420" w:firstLine="6"/>
        <w:rPr>
          <w:rFonts w:ascii="宋体" w:hAnsi="宋体"/>
          <w:sz w:val="24"/>
        </w:rPr>
      </w:pPr>
      <w:r>
        <w:rPr>
          <w:rFonts w:ascii="宋体" w:hAnsi="宋体" w:hint="eastAsia"/>
          <w:sz w:val="24"/>
        </w:rPr>
        <w:t>备注：投标函中承诺的投标有效期应当不少于招标文件中载明的投标有效期，其他内容不得擅自删改，否则视为无效投标。</w:t>
      </w:r>
    </w:p>
    <w:p>
      <w:pPr>
        <w:autoSpaceDE w:val="0"/>
        <w:autoSpaceDN w:val="0"/>
        <w:adjustRightInd w:val="0"/>
        <w:spacing w:line="360" w:lineRule="auto"/>
        <w:ind w:left="420" w:firstLine="6"/>
        <w:rPr>
          <w:rFonts w:ascii="宋体" w:hAnsi="宋体"/>
          <w:sz w:val="24"/>
        </w:rPr>
      </w:pPr>
    </w:p>
    <w:p>
      <w:pPr>
        <w:spacing w:line="360" w:lineRule="auto"/>
        <w:ind w:left="540" w:leftChars="257"/>
        <w:rPr>
          <w:sz w:val="24"/>
          <w:u w:val="single"/>
        </w:rPr>
      </w:pPr>
      <w:r>
        <w:rPr>
          <w:rFonts w:hint="eastAsia"/>
          <w:sz w:val="24"/>
        </w:rPr>
        <w:t>投标人：</w:t>
      </w:r>
      <w:r>
        <w:rPr>
          <w:rFonts w:hint="eastAsia"/>
          <w:sz w:val="24"/>
          <w:u w:val="single"/>
        </w:rPr>
        <w:t xml:space="preserve">                   </w:t>
      </w:r>
      <w:r>
        <w:rPr>
          <w:rFonts w:hint="eastAsia"/>
          <w:sz w:val="24"/>
        </w:rPr>
        <w:t xml:space="preserve">    单位地址：</w:t>
      </w:r>
      <w:r>
        <w:rPr>
          <w:rFonts w:hint="eastAsia"/>
          <w:sz w:val="24"/>
          <w:u w:val="single"/>
        </w:rPr>
        <w:t xml:space="preserve">               </w:t>
      </w:r>
    </w:p>
    <w:p>
      <w:pPr>
        <w:spacing w:line="360" w:lineRule="auto"/>
        <w:ind w:left="540" w:leftChars="257"/>
        <w:rPr>
          <w:sz w:val="24"/>
          <w:u w:val="single"/>
        </w:rPr>
      </w:pPr>
      <w:r>
        <w:rPr>
          <w:rFonts w:hint="eastAsia"/>
          <w:sz w:val="24"/>
        </w:rPr>
        <w:t>法定代表人或其委托代理人：</w:t>
      </w:r>
      <w:r>
        <w:rPr>
          <w:rFonts w:hint="eastAsia"/>
          <w:sz w:val="24"/>
          <w:u w:val="single"/>
        </w:rPr>
        <w:t xml:space="preserve">                   </w:t>
      </w:r>
    </w:p>
    <w:p>
      <w:pPr>
        <w:spacing w:line="360" w:lineRule="auto"/>
        <w:ind w:left="540" w:leftChars="257"/>
        <w:rPr>
          <w:sz w:val="24"/>
          <w:u w:val="single"/>
        </w:rPr>
      </w:pPr>
      <w:r>
        <w:rPr>
          <w:rFonts w:hint="eastAsia"/>
          <w:sz w:val="24"/>
        </w:rPr>
        <w:t>邮政编码：</w:t>
      </w:r>
      <w:r>
        <w:rPr>
          <w:rFonts w:hint="eastAsia"/>
          <w:sz w:val="24"/>
          <w:u w:val="single"/>
        </w:rPr>
        <w:t xml:space="preserve">          </w:t>
      </w:r>
      <w:r>
        <w:rPr>
          <w:rFonts w:hint="eastAsia"/>
          <w:sz w:val="24"/>
        </w:rPr>
        <w:t xml:space="preserve">  电话：</w:t>
      </w:r>
      <w:r>
        <w:rPr>
          <w:rFonts w:hint="eastAsia"/>
          <w:sz w:val="24"/>
          <w:u w:val="single"/>
        </w:rPr>
        <w:t xml:space="preserve">          </w:t>
      </w:r>
      <w:r>
        <w:rPr>
          <w:rFonts w:hint="eastAsia"/>
          <w:sz w:val="24"/>
        </w:rPr>
        <w:t xml:space="preserve">  传真：</w:t>
      </w:r>
      <w:r>
        <w:rPr>
          <w:rFonts w:hint="eastAsia"/>
          <w:sz w:val="24"/>
          <w:u w:val="single"/>
        </w:rPr>
        <w:t xml:space="preserve">            </w:t>
      </w:r>
    </w:p>
    <w:p>
      <w:pPr>
        <w:spacing w:line="360" w:lineRule="auto"/>
        <w:ind w:left="540" w:leftChars="257"/>
        <w:rPr>
          <w:sz w:val="24"/>
        </w:rPr>
      </w:pPr>
      <w:r>
        <w:rPr>
          <w:rFonts w:hint="eastAsia"/>
          <w:sz w:val="24"/>
        </w:rPr>
        <w:t>邮箱：</w:t>
      </w:r>
      <w:r>
        <w:rPr>
          <w:rFonts w:hint="eastAsia"/>
          <w:sz w:val="24"/>
          <w:u w:val="single"/>
        </w:rPr>
        <w:t xml:space="preserve">                   </w:t>
      </w:r>
    </w:p>
    <w:p>
      <w:pPr>
        <w:spacing w:line="360" w:lineRule="auto"/>
        <w:ind w:left="540" w:leftChars="257"/>
        <w:rPr>
          <w:sz w:val="24"/>
        </w:rPr>
      </w:pPr>
      <w:r>
        <w:rPr>
          <w:rFonts w:hint="eastAsia"/>
          <w:sz w:val="24"/>
        </w:rPr>
        <w:t>财务负责人或企业负责人的姓名、联系方式：</w:t>
      </w:r>
      <w:r>
        <w:rPr>
          <w:rFonts w:hint="eastAsia"/>
          <w:sz w:val="24"/>
          <w:u w:val="single"/>
        </w:rPr>
        <w:t xml:space="preserve">                   </w:t>
      </w:r>
    </w:p>
    <w:p>
      <w:pPr>
        <w:spacing w:line="360" w:lineRule="auto"/>
        <w:ind w:left="540" w:leftChars="257"/>
        <w:rPr>
          <w:sz w:val="24"/>
        </w:rPr>
      </w:pPr>
      <w:r>
        <w:rPr>
          <w:rFonts w:hint="eastAsia"/>
          <w:sz w:val="24"/>
        </w:rPr>
        <w:t>开户银行名称：</w:t>
      </w:r>
      <w:r>
        <w:rPr>
          <w:rFonts w:hint="eastAsia"/>
          <w:sz w:val="24"/>
          <w:u w:val="single"/>
        </w:rPr>
        <w:tab/>
      </w:r>
      <w:r>
        <w:rPr>
          <w:rFonts w:hint="eastAsia"/>
          <w:sz w:val="24"/>
          <w:u w:val="single"/>
        </w:rPr>
        <w:tab/>
      </w:r>
      <w:r>
        <w:rPr>
          <w:rFonts w:hint="eastAsia"/>
          <w:sz w:val="24"/>
          <w:u w:val="single"/>
        </w:rPr>
        <w:tab/>
      </w:r>
      <w:r>
        <w:rPr>
          <w:rFonts w:hint="eastAsia"/>
          <w:sz w:val="24"/>
          <w:u w:val="single"/>
        </w:rPr>
        <w:tab/>
      </w:r>
      <w:r>
        <w:rPr>
          <w:rFonts w:hint="eastAsia"/>
          <w:sz w:val="24"/>
        </w:rPr>
        <w:tab/>
      </w:r>
      <w:r>
        <w:rPr>
          <w:rFonts w:hint="eastAsia"/>
          <w:sz w:val="24"/>
        </w:rPr>
        <w:t>开户银行帐号：</w:t>
      </w:r>
      <w:r>
        <w:rPr>
          <w:rFonts w:hint="eastAsia"/>
          <w:sz w:val="24"/>
          <w:u w:val="single"/>
        </w:rPr>
        <w:tab/>
      </w:r>
      <w:r>
        <w:rPr>
          <w:rFonts w:hint="eastAsia"/>
          <w:sz w:val="24"/>
          <w:u w:val="single"/>
        </w:rPr>
        <w:tab/>
      </w:r>
      <w:r>
        <w:rPr>
          <w:rFonts w:hint="eastAsia"/>
          <w:sz w:val="24"/>
          <w:u w:val="single"/>
        </w:rPr>
        <w:tab/>
      </w:r>
      <w:r>
        <w:rPr>
          <w:rFonts w:hint="eastAsia"/>
          <w:sz w:val="24"/>
          <w:u w:val="single"/>
        </w:rPr>
        <w:tab/>
      </w:r>
    </w:p>
    <w:p>
      <w:pPr>
        <w:spacing w:line="360" w:lineRule="auto"/>
        <w:ind w:left="540" w:leftChars="257"/>
        <w:rPr>
          <w:sz w:val="24"/>
        </w:rPr>
      </w:pPr>
      <w:r>
        <w:rPr>
          <w:rFonts w:hint="eastAsia"/>
          <w:sz w:val="24"/>
        </w:rPr>
        <w:t>开户银行地址：</w:t>
      </w:r>
      <w:r>
        <w:rPr>
          <w:rFonts w:hint="eastAsia"/>
          <w:sz w:val="24"/>
          <w:u w:val="single"/>
        </w:rPr>
        <w:tab/>
      </w:r>
      <w:r>
        <w:rPr>
          <w:rFonts w:hint="eastAsia"/>
          <w:sz w:val="24"/>
          <w:u w:val="single"/>
        </w:rPr>
        <w:tab/>
      </w:r>
      <w:r>
        <w:rPr>
          <w:rFonts w:hint="eastAsia"/>
          <w:sz w:val="24"/>
          <w:u w:val="single"/>
        </w:rPr>
        <w:tab/>
      </w:r>
      <w:r>
        <w:rPr>
          <w:rFonts w:hint="eastAsia"/>
          <w:sz w:val="24"/>
          <w:u w:val="single"/>
        </w:rPr>
        <w:tab/>
      </w:r>
      <w:r>
        <w:rPr>
          <w:rFonts w:hint="eastAsia"/>
          <w:sz w:val="24"/>
        </w:rPr>
        <w:tab/>
      </w:r>
      <w:r>
        <w:rPr>
          <w:rFonts w:hint="eastAsia"/>
          <w:sz w:val="24"/>
        </w:rPr>
        <w:t>开户银行电话：</w:t>
      </w:r>
      <w:r>
        <w:rPr>
          <w:rFonts w:hint="eastAsia"/>
          <w:sz w:val="24"/>
          <w:u w:val="single"/>
        </w:rPr>
        <w:tab/>
      </w:r>
      <w:r>
        <w:rPr>
          <w:rFonts w:hint="eastAsia"/>
          <w:sz w:val="24"/>
          <w:u w:val="single"/>
        </w:rPr>
        <w:tab/>
      </w:r>
      <w:r>
        <w:rPr>
          <w:rFonts w:hint="eastAsia"/>
          <w:sz w:val="24"/>
          <w:u w:val="single"/>
        </w:rPr>
        <w:tab/>
      </w:r>
      <w:r>
        <w:rPr>
          <w:rFonts w:hint="eastAsia"/>
          <w:sz w:val="24"/>
          <w:u w:val="single"/>
        </w:rPr>
        <w:tab/>
      </w:r>
    </w:p>
    <w:p>
      <w:pPr>
        <w:adjustRightInd w:val="0"/>
        <w:snapToGrid w:val="0"/>
        <w:spacing w:line="360" w:lineRule="auto"/>
        <w:ind w:firstLine="538" w:firstLineChars="256"/>
        <w:rPr>
          <w:rFonts w:ascii="宋体" w:hAnsi="宋体"/>
          <w:sz w:val="24"/>
        </w:rPr>
      </w:pPr>
      <w:r>
        <w:rPr>
          <w:rFonts w:ascii="宋体" w:hAnsi="宋体" w:hint="eastAsia"/>
          <w:sz w:val="24"/>
        </w:rPr>
        <w:t>日期：</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w:t>
      </w:r>
    </w:p>
    <w:p>
      <w:pPr>
        <w:widowControl/>
        <w:jc w:val="left"/>
        <w:rPr>
          <w:rFonts w:ascii="Arial" w:eastAsia="黑体" w:hAnsi="Arial"/>
          <w:bCs/>
          <w:color w:val="0000FF"/>
          <w:sz w:val="32"/>
          <w:szCs w:val="32"/>
        </w:rPr>
      </w:pPr>
      <w:r>
        <w:rPr>
          <w:b/>
          <w:color w:val="0000FF"/>
        </w:rPr>
        <w:br w:type="page"/>
      </w:r>
    </w:p>
    <w:p>
      <w:pPr>
        <w:pStyle w:val="Heading2"/>
        <w:numPr>
          <w:ilvl w:val="0"/>
          <w:numId w:val="72"/>
        </w:numPr>
        <w:spacing w:line="240" w:lineRule="auto"/>
        <w:jc w:val="center"/>
        <w:rPr>
          <w:bCs w:val="0"/>
        </w:rPr>
      </w:pPr>
      <w:bookmarkEnd w:id="182"/>
      <w:bookmarkEnd w:id="183"/>
      <w:bookmarkEnd w:id="184"/>
      <w:bookmarkStart w:id="187" w:name="_Toc30183"/>
      <w:bookmarkStart w:id="188" w:name="_Toc256000030"/>
      <w:r>
        <w:rPr>
          <w:rFonts w:hint="eastAsia"/>
          <w:bCs w:val="0"/>
        </w:rPr>
        <w:t>政府采购投标及履约承诺函</w:t>
      </w:r>
      <w:bookmarkEnd w:id="188"/>
      <w:bookmarkEnd w:id="187"/>
    </w:p>
    <w:p>
      <w:pPr>
        <w:adjustRightInd w:val="0"/>
        <w:snapToGrid w:val="0"/>
        <w:spacing w:line="360" w:lineRule="auto"/>
        <w:rPr>
          <w:b/>
          <w:sz w:val="24"/>
        </w:rPr>
      </w:pPr>
      <w:r>
        <w:rPr>
          <w:rFonts w:hint="eastAsia"/>
          <w:b/>
          <w:sz w:val="24"/>
        </w:rPr>
        <w:t>采联国际招标采购集团有限公司：</w:t>
      </w:r>
    </w:p>
    <w:p>
      <w:pPr>
        <w:ind w:right="-815" w:firstLine="420" w:firstLineChars="200"/>
        <w:rPr>
          <w:rFonts w:ascii="宋体" w:hAnsi="宋体"/>
          <w:sz w:val="24"/>
        </w:rPr>
      </w:pPr>
      <w:r>
        <w:rPr>
          <w:rFonts w:ascii="宋体" w:hAnsi="宋体" w:hint="eastAsia"/>
          <w:sz w:val="24"/>
        </w:rPr>
        <w:t>本单位（公司）承诺：</w:t>
      </w:r>
    </w:p>
    <w:p>
      <w:pPr>
        <w:pStyle w:val="ListParagraph"/>
        <w:numPr>
          <w:ilvl w:val="3"/>
          <w:numId w:val="76"/>
        </w:numPr>
        <w:ind w:left="709" w:hanging="283" w:firstLineChars="0"/>
        <w:rPr>
          <w:rFonts w:ascii="宋体" w:hAnsi="宋体"/>
          <w:sz w:val="24"/>
        </w:rPr>
      </w:pPr>
      <w:r>
        <w:rPr>
          <w:rFonts w:ascii="宋体" w:hAnsi="宋体" w:hint="eastAsia"/>
          <w:sz w:val="24"/>
        </w:rPr>
        <w:t>本单位（公司）本招标项目所提供的货物或服务未侵犯知识产权。</w:t>
      </w:r>
    </w:p>
    <w:p>
      <w:pPr>
        <w:pStyle w:val="ListParagraph"/>
        <w:numPr>
          <w:ilvl w:val="3"/>
          <w:numId w:val="76"/>
        </w:numPr>
        <w:ind w:left="709" w:hanging="283" w:firstLineChars="0"/>
        <w:rPr>
          <w:rFonts w:ascii="宋体" w:hAnsi="宋体"/>
          <w:sz w:val="24"/>
        </w:rPr>
      </w:pPr>
      <w:r>
        <w:rPr>
          <w:rFonts w:ascii="宋体" w:hAnsi="宋体" w:cs="宋体" w:hint="eastAsia"/>
          <w:kern w:val="0"/>
          <w:sz w:val="24"/>
        </w:rPr>
        <w:t>具有履行合同所必需的设备和专业技术能力；</w:t>
      </w:r>
    </w:p>
    <w:p>
      <w:pPr>
        <w:pStyle w:val="ListParagraph"/>
        <w:numPr>
          <w:ilvl w:val="3"/>
          <w:numId w:val="76"/>
        </w:numPr>
        <w:ind w:left="709" w:hanging="283" w:firstLineChars="0"/>
        <w:rPr>
          <w:rFonts w:ascii="宋体" w:hAnsi="宋体"/>
          <w:sz w:val="24"/>
          <w:highlight w:val="none"/>
        </w:rPr>
      </w:pPr>
      <w:r>
        <w:rPr>
          <w:rFonts w:ascii="宋体" w:hAnsi="宋体" w:hint="eastAsia"/>
          <w:sz w:val="24"/>
          <w:highlight w:val="none"/>
        </w:rPr>
        <w:t>本单位（公司）参与本项目投标前三年内，在经营活动中没有重大违法记录</w:t>
      </w:r>
      <w:r>
        <w:rPr>
          <w:rFonts w:asciiTheme="minorEastAsia" w:eastAsiaTheme="minorEastAsia" w:hAnsiTheme="minorEastAsia" w:hint="eastAsia"/>
          <w:sz w:val="24"/>
          <w:highlight w:val="none"/>
        </w:rPr>
        <w:t>。</w:t>
      </w:r>
    </w:p>
    <w:p>
      <w:pPr>
        <w:pStyle w:val="ListParagraph"/>
        <w:numPr>
          <w:ilvl w:val="3"/>
          <w:numId w:val="76"/>
        </w:numPr>
        <w:ind w:left="709" w:hanging="283" w:firstLineChars="0"/>
        <w:rPr>
          <w:rFonts w:ascii="宋体" w:hAnsi="宋体"/>
          <w:sz w:val="24"/>
        </w:rPr>
      </w:pPr>
      <w:r>
        <w:rPr>
          <w:rFonts w:ascii="宋体" w:hAnsi="宋体" w:hint="eastAsia"/>
          <w:sz w:val="24"/>
        </w:rPr>
        <w:t>本单位（公司）参与本项目</w:t>
      </w:r>
      <w:r>
        <w:rPr>
          <w:rFonts w:hint="eastAsia"/>
          <w:sz w:val="24"/>
        </w:rPr>
        <w:t>政府采购活动时不存在被有关部门禁止参与政府采购活动且在有效期内的情况。</w:t>
      </w:r>
    </w:p>
    <w:p>
      <w:pPr>
        <w:pStyle w:val="ListParagraph"/>
        <w:numPr>
          <w:ilvl w:val="3"/>
          <w:numId w:val="76"/>
        </w:numPr>
        <w:ind w:left="709" w:hanging="283" w:firstLineChars="0"/>
        <w:rPr>
          <w:rFonts w:ascii="宋体" w:hAnsi="宋体"/>
          <w:sz w:val="24"/>
        </w:rPr>
      </w:pPr>
      <w:r>
        <w:rPr>
          <w:rFonts w:ascii="宋体" w:hAnsi="宋体" w:cs="宋体" w:hint="eastAsia"/>
          <w:kern w:val="0"/>
          <w:sz w:val="24"/>
        </w:rPr>
        <w:t>法律、行政法规规定的其他条件。</w:t>
      </w:r>
    </w:p>
    <w:p>
      <w:pPr>
        <w:pStyle w:val="ListParagraph"/>
        <w:numPr>
          <w:ilvl w:val="3"/>
          <w:numId w:val="76"/>
        </w:numPr>
        <w:ind w:left="709" w:hanging="283" w:firstLineChars="0"/>
        <w:rPr>
          <w:rFonts w:ascii="宋体" w:hAnsi="宋体"/>
          <w:sz w:val="24"/>
        </w:rPr>
      </w:pPr>
      <w:r>
        <w:rPr>
          <w:rFonts w:ascii="宋体" w:hAnsi="宋体" w:hint="eastAsia"/>
          <w:sz w:val="24"/>
        </w:rPr>
        <w:t>本单位（公司）具备《中华人民共和国政府采购法》第二十二条第一款规定的六项条件。</w:t>
      </w:r>
    </w:p>
    <w:p>
      <w:pPr>
        <w:pStyle w:val="ListParagraph"/>
        <w:numPr>
          <w:ilvl w:val="3"/>
          <w:numId w:val="76"/>
        </w:numPr>
        <w:ind w:left="709" w:hanging="283" w:firstLineChars="0"/>
        <w:rPr>
          <w:sz w:val="24"/>
        </w:rPr>
      </w:pPr>
      <w:r>
        <w:rPr>
          <w:rFonts w:ascii="宋体" w:hAnsi="宋体" w:hint="eastAsia"/>
          <w:sz w:val="24"/>
        </w:rPr>
        <w:t>本单位（公司）</w:t>
      </w:r>
      <w:r>
        <w:rPr>
          <w:rFonts w:hint="eastAsia"/>
          <w:sz w:val="24"/>
        </w:rPr>
        <w:t>未被列入失信被执行人、</w:t>
      </w:r>
      <w:r>
        <w:rPr>
          <w:sz w:val="24"/>
        </w:rPr>
        <w:t>重大税收违法案件当事人名单（税收违法黑名单）</w:t>
      </w:r>
      <w:r>
        <w:rPr>
          <w:rFonts w:hint="eastAsia"/>
          <w:sz w:val="24"/>
        </w:rPr>
        <w:t>、政府采购严重违法失信行为记录名单。</w:t>
      </w:r>
    </w:p>
    <w:p>
      <w:pPr>
        <w:pStyle w:val="ListParagraph"/>
        <w:numPr>
          <w:ilvl w:val="3"/>
          <w:numId w:val="76"/>
        </w:numPr>
        <w:ind w:left="709" w:hanging="283" w:firstLineChars="0"/>
        <w:rPr>
          <w:rFonts w:ascii="宋体" w:hAnsi="宋体"/>
          <w:sz w:val="24"/>
        </w:rPr>
      </w:pPr>
      <w:r>
        <w:rPr>
          <w:rFonts w:ascii="宋体" w:hAnsi="宋体" w:hint="eastAsia"/>
          <w:sz w:val="24"/>
        </w:rPr>
        <w:t>本单位（公司）及附属机构，并非受托为本项目同一合同项下或者其中分项目的前期工作提供设计、编制规范、进行管理等服务的供应商。（适用于信息系统建设项目）</w:t>
      </w:r>
    </w:p>
    <w:p>
      <w:pPr>
        <w:pStyle w:val="ListParagraph"/>
        <w:numPr>
          <w:ilvl w:val="3"/>
          <w:numId w:val="76"/>
        </w:numPr>
        <w:ind w:left="709" w:hanging="283" w:firstLineChars="0"/>
        <w:rPr>
          <w:rFonts w:ascii="宋体" w:hAnsi="宋体"/>
          <w:sz w:val="24"/>
        </w:rPr>
      </w:pPr>
      <w:r>
        <w:rPr>
          <w:rFonts w:ascii="宋体" w:hAnsi="宋体" w:hint="eastAsia"/>
          <w:sz w:val="24"/>
        </w:rPr>
        <w:t>本单位（公司）没有为采购项目同一合同项下提供整体设计、规范编制或者项目管理、监理、检测等服务。</w:t>
      </w:r>
    </w:p>
    <w:p>
      <w:pPr>
        <w:pStyle w:val="ListParagraph"/>
        <w:numPr>
          <w:ilvl w:val="3"/>
          <w:numId w:val="76"/>
        </w:numPr>
        <w:ind w:left="709" w:hanging="283" w:firstLineChars="0"/>
        <w:rPr>
          <w:rFonts w:ascii="宋体" w:hAnsi="宋体"/>
          <w:sz w:val="24"/>
        </w:rPr>
      </w:pPr>
      <w:r>
        <w:rPr>
          <w:rFonts w:ascii="宋体" w:hAnsi="宋体" w:hint="eastAsia"/>
          <w:sz w:val="24"/>
        </w:rPr>
        <w:t>本单位（公司）承诺如与本项目同一合同项下其他投标人的单位负责人为同一人或者存在直接控股、管理关系的情形，同意按投标无效处理。</w:t>
      </w:r>
    </w:p>
    <w:p>
      <w:pPr>
        <w:pStyle w:val="ListParagraph"/>
        <w:numPr>
          <w:ilvl w:val="3"/>
          <w:numId w:val="76"/>
        </w:numPr>
        <w:ind w:left="709" w:hanging="283" w:firstLineChars="0"/>
        <w:rPr>
          <w:rFonts w:ascii="宋体" w:hAnsi="宋体"/>
          <w:sz w:val="24"/>
        </w:rPr>
      </w:pPr>
      <w:r>
        <w:rPr>
          <w:rFonts w:ascii="宋体" w:hAnsi="宋体" w:hint="eastAsia"/>
          <w:sz w:val="24"/>
        </w:rPr>
        <w:t>本单位（公司）参与该项目投标，严格遵循公平竞争的原则，不恶意串通，不妨碍其他投标人的竞争行为，不损害采购人或者其他投标人的合法权益。本单位（公司）已清楚，如违反上述要求，将作投标无效处理。</w:t>
      </w:r>
    </w:p>
    <w:p>
      <w:pPr>
        <w:pStyle w:val="ListParagraph"/>
        <w:numPr>
          <w:ilvl w:val="3"/>
          <w:numId w:val="76"/>
        </w:numPr>
        <w:ind w:left="709" w:hanging="283" w:firstLineChars="0"/>
        <w:rPr>
          <w:rFonts w:ascii="宋体" w:hAnsi="宋体"/>
          <w:sz w:val="24"/>
        </w:rPr>
      </w:pPr>
      <w:r>
        <w:rPr>
          <w:rFonts w:ascii="宋体" w:hAnsi="宋体" w:hint="eastAsia"/>
          <w:sz w:val="24"/>
        </w:rPr>
        <w:t>本单位（公司）如果中标，做到守信，不偷工减料，依照本项目招标文件需求内容、签署的采购合同及本公司在投标中所作的一切承诺履约。</w:t>
      </w:r>
    </w:p>
    <w:p>
      <w:pPr>
        <w:pStyle w:val="ListParagraph"/>
        <w:numPr>
          <w:ilvl w:val="3"/>
          <w:numId w:val="76"/>
        </w:numPr>
        <w:ind w:left="709" w:hanging="283" w:firstLineChars="0"/>
        <w:rPr>
          <w:rFonts w:ascii="宋体" w:hAnsi="宋体"/>
          <w:sz w:val="24"/>
        </w:rPr>
      </w:pPr>
      <w:r>
        <w:rPr>
          <w:rFonts w:ascii="宋体" w:hAnsi="宋体" w:hint="eastAsia"/>
          <w:sz w:val="24"/>
        </w:rPr>
        <w:t>本单位（公司）承诺本项目的报价不低于本单位（公司）的成本价，否则，本单位（公司）清楚将面临投标无效的风险；本单位（公司）承诺不恶意低价谋取中标；本单位（公司）对本项目的报价负责，中标后将严格按照本项目招标文件需求、签署的采购合同及本单位（公司）在投标中所作的全部承诺履行。本单位（公司）清楚，若本单位（公司）以“报价太低而无法履约”为理由放弃本项目中标资格时，愿意接受主管部门的处理处罚。若本单位（公司）中标本项目，本单位（公司）的报价明显低于其他投标人的报价时，本单位（公司）清楚，本项目将成为重点监管、重点验收项目，本单位（公司）将按时保质保量完成，并全力配合有关监管、验收工作；若本单位（公司）未按上述要求履约，本单位（公司）愿意接受主管部门的处理处罚。</w:t>
      </w:r>
    </w:p>
    <w:p>
      <w:pPr>
        <w:pStyle w:val="ListParagraph"/>
        <w:numPr>
          <w:ilvl w:val="3"/>
          <w:numId w:val="76"/>
        </w:numPr>
        <w:ind w:left="709" w:hanging="283" w:firstLineChars="0"/>
        <w:rPr>
          <w:rFonts w:ascii="宋体" w:hAnsi="宋体"/>
          <w:sz w:val="24"/>
        </w:rPr>
      </w:pPr>
      <w:r>
        <w:rPr>
          <w:rFonts w:ascii="宋体" w:hAnsi="宋体" w:hint="eastAsia"/>
          <w:sz w:val="24"/>
        </w:rPr>
        <w:t>本单位（公司）已认真核实了投标文件的全部内容，所有资料均为真实资料。本单位（公司）对投标文件中全部投标资料的真实性负责，如被证实本单位（公司）的投标文件中存在虚假资料的，则视为本单位（公司）隐瞒真实情况、提供虚假资料，本单位（公司）愿意接受主管部门作出的行政处罚。</w:t>
      </w:r>
    </w:p>
    <w:p>
      <w:pPr>
        <w:pStyle w:val="ListParagraph"/>
        <w:numPr>
          <w:ilvl w:val="3"/>
          <w:numId w:val="76"/>
        </w:numPr>
        <w:ind w:left="709" w:hanging="283" w:firstLineChars="0"/>
        <w:rPr>
          <w:rFonts w:ascii="宋体" w:hAnsi="宋体"/>
          <w:sz w:val="24"/>
        </w:rPr>
      </w:pPr>
      <w:r>
        <w:rPr>
          <w:rFonts w:ascii="宋体" w:hAnsi="宋体" w:hint="eastAsia"/>
          <w:sz w:val="24"/>
        </w:rPr>
        <w:t>本单位（公司）承诺不非法转包、分包。</w:t>
      </w:r>
    </w:p>
    <w:p>
      <w:pPr>
        <w:pStyle w:val="ListParagraph"/>
        <w:numPr>
          <w:ilvl w:val="3"/>
          <w:numId w:val="76"/>
        </w:numPr>
        <w:ind w:left="709" w:hanging="283" w:firstLineChars="0"/>
        <w:rPr>
          <w:rFonts w:ascii="宋体" w:hAnsi="宋体"/>
          <w:sz w:val="24"/>
        </w:rPr>
      </w:pPr>
      <w:r>
        <w:rPr>
          <w:rFonts w:ascii="宋体" w:hAnsi="宋体" w:hint="eastAsia"/>
          <w:sz w:val="24"/>
        </w:rPr>
        <w:t>本单位（公司）承诺所投标（响应）的货物、工程或服务，不存在侵犯知识产权的情况；已知悉并同意中标（成交）结果信息公示（公开）的内容。</w:t>
      </w:r>
    </w:p>
    <w:p>
      <w:pPr>
        <w:ind w:firstLine="420" w:firstLineChars="200"/>
        <w:rPr>
          <w:rFonts w:ascii="宋体" w:hAnsi="宋体"/>
          <w:sz w:val="24"/>
        </w:rPr>
      </w:pPr>
      <w:r>
        <w:rPr>
          <w:rFonts w:ascii="宋体" w:hAnsi="宋体" w:hint="eastAsia"/>
          <w:sz w:val="24"/>
        </w:rPr>
        <w:t>以上承诺，如有违反，愿依照国家相关法律处理，并承担由此给采购人带来的损失。</w:t>
      </w:r>
    </w:p>
    <w:p>
      <w:pPr>
        <w:rPr>
          <w:sz w:val="24"/>
        </w:rPr>
      </w:pPr>
      <w:r>
        <w:rPr>
          <w:rFonts w:hint="eastAsia"/>
          <w:sz w:val="24"/>
        </w:rPr>
        <w:t xml:space="preserve">                                                 </w:t>
      </w:r>
    </w:p>
    <w:p>
      <w:pPr>
        <w:adjustRightInd w:val="0"/>
        <w:snapToGrid w:val="0"/>
        <w:spacing w:line="360" w:lineRule="auto"/>
        <w:jc w:val="center"/>
        <w:rPr>
          <w:sz w:val="24"/>
        </w:rPr>
      </w:pPr>
      <w:r>
        <w:rPr>
          <w:rFonts w:hint="eastAsia"/>
          <w:sz w:val="24"/>
        </w:rPr>
        <w:t xml:space="preserve">                            </w:t>
      </w:r>
    </w:p>
    <w:p>
      <w:pPr>
        <w:adjustRightInd w:val="0"/>
        <w:snapToGrid w:val="0"/>
        <w:spacing w:line="360" w:lineRule="auto"/>
        <w:jc w:val="center"/>
        <w:rPr>
          <w:sz w:val="24"/>
        </w:rPr>
      </w:pPr>
      <w:r>
        <w:rPr>
          <w:rFonts w:hint="eastAsia"/>
          <w:sz w:val="24"/>
        </w:rPr>
        <w:t xml:space="preserve">                            投标人名称：</w:t>
      </w:r>
      <w:r>
        <w:rPr>
          <w:sz w:val="24"/>
        </w:rPr>
        <w:t xml:space="preserve"> </w:t>
      </w:r>
    </w:p>
    <w:p>
      <w:pPr>
        <w:adjustRightInd w:val="0"/>
        <w:snapToGrid w:val="0"/>
        <w:spacing w:line="360" w:lineRule="auto"/>
        <w:jc w:val="center"/>
        <w:rPr>
          <w:sz w:val="24"/>
        </w:rPr>
      </w:pPr>
      <w:r>
        <w:rPr>
          <w:rFonts w:hint="eastAsia"/>
          <w:sz w:val="24"/>
        </w:rPr>
        <w:t xml:space="preserve">                      日期：</w:t>
      </w:r>
    </w:p>
    <w:p>
      <w:pPr>
        <w:adjustRightInd w:val="0"/>
        <w:snapToGrid w:val="0"/>
        <w:spacing w:line="360" w:lineRule="auto"/>
        <w:ind w:right="960" w:firstLine="5670" w:firstLineChars="2700"/>
        <w:rPr>
          <w:sz w:val="24"/>
        </w:rPr>
      </w:pPr>
      <w:r>
        <w:rPr>
          <w:rFonts w:hint="eastAsia"/>
          <w:sz w:val="24"/>
        </w:rPr>
        <w:t xml:space="preserve">                                                </w:t>
      </w:r>
    </w:p>
    <w:p>
      <w:pPr>
        <w:widowControl/>
        <w:jc w:val="left"/>
      </w:pPr>
      <w:r>
        <w:rPr>
          <w:rFonts w:hint="eastAsia"/>
        </w:rPr>
        <w:br w:type="page"/>
      </w:r>
    </w:p>
    <w:p>
      <w:pPr>
        <w:pStyle w:val="Heading2"/>
        <w:numPr>
          <w:ilvl w:val="0"/>
          <w:numId w:val="72"/>
        </w:numPr>
        <w:spacing w:line="240" w:lineRule="auto"/>
        <w:jc w:val="center"/>
        <w:rPr>
          <w:bCs w:val="0"/>
        </w:rPr>
      </w:pPr>
      <w:bookmarkStart w:id="189" w:name="_Toc28023"/>
      <w:bookmarkStart w:id="190" w:name="_Toc256000031"/>
      <w:r>
        <w:rPr>
          <w:rFonts w:hint="eastAsia"/>
          <w:bCs w:val="0"/>
        </w:rPr>
        <w:t>知识产权合规性承诺</w:t>
      </w:r>
      <w:bookmarkEnd w:id="190"/>
      <w:bookmarkEnd w:id="189"/>
    </w:p>
    <w:p>
      <w:pPr>
        <w:spacing w:line="480" w:lineRule="auto"/>
        <w:rPr>
          <w:rFonts w:ascii="宋体" w:hAnsi="宋体" w:cs="宋体" w:hint="eastAsia"/>
          <w:b/>
          <w:sz w:val="24"/>
          <w:szCs w:val="24"/>
          <w:highlight w:val="none"/>
        </w:rPr>
      </w:pPr>
      <w:r>
        <w:rPr>
          <w:rFonts w:ascii="宋体" w:hAnsi="宋体" w:cs="宋体" w:hint="eastAsia"/>
          <w:b/>
          <w:sz w:val="24"/>
          <w:szCs w:val="24"/>
          <w:highlight w:val="none"/>
        </w:rPr>
        <w:t>深圳市生态环境局：</w:t>
      </w:r>
    </w:p>
    <w:p>
      <w:pPr>
        <w:snapToGrid w:val="0"/>
        <w:spacing w:before="156" w:beforeLines="50" w:line="480" w:lineRule="auto"/>
        <w:ind w:firstLine="525" w:firstLineChars="250"/>
        <w:rPr>
          <w:rFonts w:ascii="宋体" w:hAnsi="宋体" w:cs="宋体" w:hint="eastAsia"/>
          <w:sz w:val="24"/>
          <w:szCs w:val="24"/>
        </w:rPr>
      </w:pPr>
      <w:r>
        <w:rPr>
          <w:rFonts w:ascii="宋体" w:hAnsi="宋体" w:cs="宋体" w:hint="eastAsia"/>
          <w:sz w:val="24"/>
          <w:szCs w:val="24"/>
        </w:rPr>
        <w:t>关于贵单位发布</w:t>
      </w:r>
      <w:r>
        <w:rPr>
          <w:rFonts w:ascii="宋体" w:hAnsi="宋体" w:cs="宋体" w:hint="eastAsia"/>
          <w:sz w:val="24"/>
          <w:szCs w:val="24"/>
          <w:u w:val="single"/>
          <w:lang w:eastAsia="zh-CN"/>
        </w:rPr>
        <w:t>2023-2024年基准年碳核查全流程技术支持服务</w:t>
      </w:r>
      <w:r>
        <w:rPr>
          <w:rFonts w:ascii="宋体" w:hAnsi="宋体" w:cs="宋体" w:hint="eastAsia"/>
          <w:sz w:val="24"/>
          <w:szCs w:val="24"/>
          <w:u w:val="single"/>
        </w:rPr>
        <w:t>（</w:t>
      </w:r>
      <w:r>
        <w:rPr>
          <w:rFonts w:ascii="宋体" w:hAnsi="宋体" w:cs="宋体" w:hint="eastAsia"/>
          <w:sz w:val="24"/>
          <w:szCs w:val="24"/>
          <w:u w:val="single"/>
          <w:lang w:val="en-US" w:eastAsia="zh-CN"/>
        </w:rPr>
        <w:t>项目</w:t>
      </w:r>
      <w:r>
        <w:rPr>
          <w:rFonts w:ascii="宋体" w:hAnsi="宋体" w:cs="宋体" w:hint="eastAsia"/>
          <w:sz w:val="24"/>
          <w:szCs w:val="24"/>
          <w:u w:val="single"/>
        </w:rPr>
        <w:t>编号：</w:t>
      </w:r>
      <w:r>
        <w:rPr>
          <w:rFonts w:ascii="宋体" w:hAnsi="宋体" w:cs="宋体" w:hint="eastAsia"/>
          <w:sz w:val="24"/>
          <w:szCs w:val="24"/>
          <w:u w:val="single"/>
          <w:lang w:eastAsia="zh-CN"/>
        </w:rPr>
        <w:t>SZDL2022002374（CLF0122SZ17ZC77）</w:t>
      </w:r>
      <w:r>
        <w:rPr>
          <w:rFonts w:ascii="宋体" w:hAnsi="宋体" w:cs="宋体" w:hint="eastAsia"/>
          <w:sz w:val="24"/>
          <w:szCs w:val="24"/>
          <w:u w:val="single"/>
        </w:rPr>
        <w:t>）</w:t>
      </w:r>
      <w:r>
        <w:rPr>
          <w:rFonts w:ascii="宋体" w:hAnsi="宋体" w:cs="宋体" w:hint="eastAsia"/>
          <w:sz w:val="24"/>
          <w:szCs w:val="24"/>
        </w:rPr>
        <w:t>的采购公告，本单位愿意参加投标，并承诺：</w:t>
      </w:r>
    </w:p>
    <w:p>
      <w:pPr>
        <w:snapToGrid w:val="0"/>
        <w:spacing w:before="156" w:beforeLines="50" w:line="480" w:lineRule="auto"/>
        <w:ind w:firstLine="525" w:firstLineChars="250"/>
        <w:rPr>
          <w:rFonts w:ascii="宋体" w:eastAsia="宋体" w:hAnsi="宋体" w:cs="宋体" w:hint="eastAsia"/>
          <w:sz w:val="22"/>
          <w:szCs w:val="22"/>
          <w:lang w:eastAsia="zh-CN"/>
        </w:rPr>
      </w:pPr>
      <w:r>
        <w:rPr>
          <w:rFonts w:ascii="宋体" w:hAnsi="宋体" w:cs="宋体" w:hint="eastAsia"/>
          <w:sz w:val="22"/>
          <w:szCs w:val="22"/>
        </w:rPr>
        <w:t>我单位参加本项目投标未侵犯他人知识产权</w:t>
      </w:r>
      <w:r>
        <w:rPr>
          <w:rFonts w:ascii="宋体" w:hAnsi="宋体" w:cs="宋体" w:hint="eastAsia"/>
          <w:sz w:val="22"/>
          <w:szCs w:val="22"/>
          <w:lang w:eastAsia="zh-CN"/>
        </w:rPr>
        <w:t>。</w:t>
      </w:r>
    </w:p>
    <w:p>
      <w:pPr>
        <w:autoSpaceDE/>
        <w:autoSpaceDN/>
        <w:adjustRightInd/>
        <w:spacing w:line="360" w:lineRule="auto"/>
        <w:ind w:firstLine="424" w:firstLineChars="202"/>
        <w:jc w:val="both"/>
        <w:rPr>
          <w:rFonts w:ascii="宋体" w:hAnsi="宋体" w:cs="宋体" w:hint="eastAsia"/>
          <w:sz w:val="24"/>
          <w:szCs w:val="24"/>
        </w:rPr>
      </w:pPr>
      <w:r>
        <w:rPr>
          <w:rFonts w:ascii="宋体" w:hAnsi="宋体" w:cs="宋体" w:hint="eastAsia"/>
          <w:sz w:val="24"/>
          <w:szCs w:val="24"/>
        </w:rPr>
        <w:t>如有弄虚作假行为，所造成的损失、不良后果及法律责任，一律由我单位承担。</w:t>
      </w:r>
    </w:p>
    <w:p>
      <w:pPr>
        <w:spacing w:line="480" w:lineRule="auto"/>
        <w:rPr>
          <w:rFonts w:ascii="宋体" w:hAnsi="宋体" w:cs="宋体" w:hint="eastAsia"/>
          <w:spacing w:val="4"/>
          <w:sz w:val="24"/>
          <w:szCs w:val="24"/>
        </w:rPr>
      </w:pPr>
    </w:p>
    <w:p>
      <w:pPr>
        <w:spacing w:line="480" w:lineRule="auto"/>
        <w:rPr>
          <w:rFonts w:ascii="宋体" w:hAnsi="宋体" w:cs="宋体" w:hint="eastAsia"/>
          <w:sz w:val="24"/>
          <w:szCs w:val="24"/>
          <w:u w:val="single"/>
        </w:rPr>
      </w:pPr>
      <w:r>
        <w:rPr>
          <w:rFonts w:ascii="宋体" w:hAnsi="宋体" w:cs="宋体" w:hint="eastAsia"/>
          <w:spacing w:val="4"/>
          <w:sz w:val="24"/>
          <w:szCs w:val="24"/>
        </w:rPr>
        <w:t>投标人名称：</w:t>
      </w:r>
    </w:p>
    <w:p>
      <w:pPr>
        <w:spacing w:line="480" w:lineRule="auto"/>
        <w:rPr>
          <w:rFonts w:ascii="宋体" w:hAnsi="宋体" w:cs="宋体" w:hint="eastAsia"/>
          <w:spacing w:val="4"/>
          <w:sz w:val="22"/>
          <w:szCs w:val="22"/>
        </w:rPr>
      </w:pPr>
      <w:r>
        <w:rPr>
          <w:rFonts w:ascii="宋体" w:hAnsi="宋体" w:cs="宋体" w:hint="eastAsia"/>
          <w:spacing w:val="4"/>
          <w:sz w:val="24"/>
          <w:szCs w:val="24"/>
        </w:rPr>
        <w:t>日期：</w:t>
      </w:r>
    </w:p>
    <w:p>
      <w:pPr>
        <w:rPr>
          <w:bCs w:val="0"/>
        </w:rPr>
      </w:pPr>
    </w:p>
    <w:p>
      <w:pPr>
        <w:rPr>
          <w:bCs w:val="0"/>
        </w:rPr>
      </w:pPr>
      <w:r>
        <w:rPr>
          <w:rFonts w:hint="eastAsia"/>
          <w:bCs w:val="0"/>
        </w:rPr>
        <w:br w:type="page"/>
      </w:r>
    </w:p>
    <w:p>
      <w:pPr>
        <w:pStyle w:val="Heading2"/>
        <w:numPr>
          <w:ilvl w:val="0"/>
          <w:numId w:val="72"/>
        </w:numPr>
        <w:spacing w:line="240" w:lineRule="auto"/>
        <w:jc w:val="center"/>
        <w:rPr>
          <w:bCs w:val="0"/>
        </w:rPr>
      </w:pPr>
      <w:bookmarkStart w:id="191" w:name="_Toc5664"/>
      <w:bookmarkStart w:id="192" w:name="_Toc256000032"/>
      <w:r>
        <w:rPr>
          <w:rFonts w:hint="eastAsia"/>
          <w:bCs w:val="0"/>
        </w:rPr>
        <w:t>承诺</w:t>
      </w:r>
      <w:r>
        <w:rPr>
          <w:rFonts w:hint="eastAsia"/>
          <w:bCs w:val="0"/>
          <w:lang w:val="en-US" w:eastAsia="zh-CN"/>
        </w:rPr>
        <w:t>函</w:t>
      </w:r>
      <w:bookmarkEnd w:id="192"/>
      <w:bookmarkEnd w:id="191"/>
    </w:p>
    <w:p>
      <w:pPr>
        <w:spacing w:line="480" w:lineRule="auto"/>
        <w:rPr>
          <w:rFonts w:ascii="宋体" w:hAnsi="宋体" w:cs="宋体" w:hint="eastAsia"/>
          <w:b/>
          <w:sz w:val="24"/>
          <w:szCs w:val="24"/>
          <w:highlight w:val="none"/>
        </w:rPr>
      </w:pPr>
      <w:r>
        <w:rPr>
          <w:rFonts w:ascii="宋体" w:hAnsi="宋体" w:cs="宋体" w:hint="eastAsia"/>
          <w:b/>
          <w:sz w:val="24"/>
          <w:szCs w:val="24"/>
          <w:highlight w:val="none"/>
        </w:rPr>
        <w:t>深圳市生态环境局：</w:t>
      </w:r>
    </w:p>
    <w:p>
      <w:pPr>
        <w:snapToGrid w:val="0"/>
        <w:spacing w:before="156" w:beforeLines="50" w:line="480" w:lineRule="auto"/>
        <w:ind w:firstLine="525" w:firstLineChars="250"/>
        <w:rPr>
          <w:rFonts w:ascii="宋体" w:hAnsi="宋体" w:cs="宋体" w:hint="eastAsia"/>
          <w:sz w:val="24"/>
          <w:szCs w:val="24"/>
        </w:rPr>
      </w:pPr>
      <w:r>
        <w:rPr>
          <w:rFonts w:ascii="宋体" w:hAnsi="宋体" w:cs="宋体" w:hint="eastAsia"/>
          <w:sz w:val="24"/>
          <w:szCs w:val="24"/>
        </w:rPr>
        <w:t>关于贵单位发布</w:t>
      </w:r>
      <w:r>
        <w:rPr>
          <w:rFonts w:ascii="宋体" w:hAnsi="宋体" w:cs="宋体" w:hint="eastAsia"/>
          <w:sz w:val="24"/>
          <w:szCs w:val="24"/>
          <w:u w:val="single"/>
          <w:lang w:eastAsia="zh-CN"/>
        </w:rPr>
        <w:t>2023-2024年基准年碳核查全流程技术支持服务</w:t>
      </w:r>
      <w:r>
        <w:rPr>
          <w:rFonts w:ascii="宋体" w:hAnsi="宋体" w:cs="宋体" w:hint="eastAsia"/>
          <w:sz w:val="24"/>
          <w:szCs w:val="24"/>
          <w:u w:val="single"/>
        </w:rPr>
        <w:t>（</w:t>
      </w:r>
      <w:r>
        <w:rPr>
          <w:rFonts w:ascii="宋体" w:hAnsi="宋体" w:cs="宋体" w:hint="eastAsia"/>
          <w:sz w:val="24"/>
          <w:szCs w:val="24"/>
          <w:u w:val="single"/>
          <w:lang w:val="en-US" w:eastAsia="zh-CN"/>
        </w:rPr>
        <w:t>项目</w:t>
      </w:r>
      <w:r>
        <w:rPr>
          <w:rFonts w:ascii="宋体" w:hAnsi="宋体" w:cs="宋体" w:hint="eastAsia"/>
          <w:sz w:val="24"/>
          <w:szCs w:val="24"/>
          <w:u w:val="single"/>
        </w:rPr>
        <w:t>编号：</w:t>
      </w:r>
      <w:r>
        <w:rPr>
          <w:rFonts w:ascii="宋体" w:hAnsi="宋体" w:cs="宋体" w:hint="eastAsia"/>
          <w:sz w:val="24"/>
          <w:szCs w:val="24"/>
          <w:u w:val="single"/>
          <w:lang w:eastAsia="zh-CN"/>
        </w:rPr>
        <w:t>SZDL2022002374（CLF0122SZ17ZC77）</w:t>
      </w:r>
      <w:r>
        <w:rPr>
          <w:rFonts w:ascii="宋体" w:hAnsi="宋体" w:cs="宋体" w:hint="eastAsia"/>
          <w:sz w:val="24"/>
          <w:szCs w:val="24"/>
          <w:u w:val="single"/>
        </w:rPr>
        <w:t>）</w:t>
      </w:r>
      <w:r>
        <w:rPr>
          <w:rFonts w:ascii="宋体" w:hAnsi="宋体" w:cs="宋体" w:hint="eastAsia"/>
          <w:sz w:val="24"/>
          <w:szCs w:val="24"/>
        </w:rPr>
        <w:t>的采购公告，本单位愿意参加投标，并承诺：</w:t>
      </w:r>
    </w:p>
    <w:p>
      <w:pPr>
        <w:snapToGrid w:val="0"/>
        <w:spacing w:before="156" w:beforeLines="50" w:line="480" w:lineRule="auto"/>
        <w:ind w:firstLine="525" w:firstLineChars="250"/>
        <w:rPr>
          <w:rFonts w:ascii="宋体" w:eastAsia="宋体" w:hAnsi="宋体" w:cs="宋体" w:hint="eastAsia"/>
          <w:sz w:val="22"/>
          <w:szCs w:val="22"/>
          <w:lang w:eastAsia="zh-CN"/>
        </w:rPr>
      </w:pPr>
      <w:r>
        <w:rPr>
          <w:rFonts w:ascii="宋体" w:hAnsi="宋体" w:cs="宋体" w:hint="eastAsia"/>
          <w:sz w:val="22"/>
          <w:szCs w:val="22"/>
          <w:lang w:eastAsia="zh-CN"/>
        </w:rPr>
        <w:t>我单位未参与深圳市碳资产管理和碳交易活动，不存在与深圳市从事碳资产管理与碳交易公司存在资产和管理方面的利益关系，如隶属于同一个上级机构、存在股权关系、同属于同一实际控制人等情况。</w:t>
      </w:r>
    </w:p>
    <w:p>
      <w:pPr>
        <w:autoSpaceDE/>
        <w:autoSpaceDN/>
        <w:adjustRightInd/>
        <w:spacing w:line="360" w:lineRule="auto"/>
        <w:ind w:firstLine="424" w:firstLineChars="202"/>
        <w:jc w:val="both"/>
        <w:rPr>
          <w:rFonts w:ascii="宋体" w:hAnsi="宋体" w:cs="宋体" w:hint="eastAsia"/>
          <w:sz w:val="24"/>
          <w:szCs w:val="24"/>
        </w:rPr>
      </w:pPr>
      <w:r>
        <w:rPr>
          <w:rFonts w:ascii="宋体" w:hAnsi="宋体" w:cs="宋体" w:hint="eastAsia"/>
          <w:sz w:val="24"/>
          <w:szCs w:val="24"/>
        </w:rPr>
        <w:t>如有弄虚作假行为，所造成的损失、不良后果及法律责任，一律由我单位承担。</w:t>
      </w:r>
    </w:p>
    <w:p>
      <w:pPr>
        <w:spacing w:line="480" w:lineRule="auto"/>
        <w:rPr>
          <w:rFonts w:ascii="宋体" w:hAnsi="宋体" w:cs="宋体" w:hint="eastAsia"/>
          <w:spacing w:val="4"/>
          <w:sz w:val="24"/>
          <w:szCs w:val="24"/>
        </w:rPr>
      </w:pPr>
    </w:p>
    <w:p>
      <w:pPr>
        <w:spacing w:line="480" w:lineRule="auto"/>
        <w:rPr>
          <w:rFonts w:ascii="宋体" w:hAnsi="宋体" w:cs="宋体" w:hint="eastAsia"/>
          <w:sz w:val="24"/>
          <w:szCs w:val="24"/>
          <w:u w:val="single"/>
        </w:rPr>
      </w:pPr>
      <w:r>
        <w:rPr>
          <w:rFonts w:ascii="宋体" w:hAnsi="宋体" w:cs="宋体" w:hint="eastAsia"/>
          <w:spacing w:val="4"/>
          <w:sz w:val="24"/>
          <w:szCs w:val="24"/>
        </w:rPr>
        <w:t>投标人名称：</w:t>
      </w:r>
    </w:p>
    <w:p>
      <w:pPr>
        <w:spacing w:line="480" w:lineRule="auto"/>
        <w:rPr>
          <w:rFonts w:ascii="宋体" w:hAnsi="宋体" w:cs="宋体" w:hint="eastAsia"/>
          <w:spacing w:val="4"/>
          <w:sz w:val="22"/>
          <w:szCs w:val="22"/>
        </w:rPr>
      </w:pPr>
      <w:r>
        <w:rPr>
          <w:rFonts w:ascii="宋体" w:hAnsi="宋体" w:cs="宋体" w:hint="eastAsia"/>
          <w:spacing w:val="4"/>
          <w:sz w:val="24"/>
          <w:szCs w:val="24"/>
        </w:rPr>
        <w:t>日期：</w:t>
      </w:r>
    </w:p>
    <w:p>
      <w:pPr>
        <w:rPr>
          <w:bCs w:val="0"/>
        </w:rPr>
      </w:pPr>
      <w:r>
        <w:rPr>
          <w:rFonts w:hint="eastAsia"/>
          <w:bCs w:val="0"/>
        </w:rPr>
        <w:br w:type="page"/>
      </w:r>
    </w:p>
    <w:p>
      <w:pPr>
        <w:pStyle w:val="Heading2"/>
        <w:numPr>
          <w:ilvl w:val="0"/>
          <w:numId w:val="72"/>
        </w:numPr>
        <w:spacing w:line="240" w:lineRule="auto"/>
        <w:jc w:val="center"/>
        <w:rPr>
          <w:bCs w:val="0"/>
        </w:rPr>
      </w:pPr>
      <w:bookmarkStart w:id="193" w:name="_Toc9292"/>
      <w:bookmarkStart w:id="194" w:name="_Toc256000033"/>
      <w:r>
        <w:rPr>
          <w:rFonts w:hint="eastAsia"/>
          <w:bCs w:val="0"/>
        </w:rPr>
        <w:t>主要股东或出资人信息</w:t>
      </w:r>
      <w:bookmarkEnd w:id="194"/>
      <w:bookmarkEnd w:id="193"/>
    </w:p>
    <w:p>
      <w:pPr>
        <w:tabs>
          <w:tab w:val="left" w:pos="7740"/>
        </w:tabs>
        <w:adjustRightInd w:val="0"/>
        <w:snapToGrid w:val="0"/>
        <w:spacing w:line="360" w:lineRule="auto"/>
        <w:rPr>
          <w:rFonts w:ascii="宋体" w:eastAsia="宋体" w:hAnsi="宋体" w:hint="eastAsia"/>
          <w:sz w:val="24"/>
          <w:lang w:eastAsia="zh-CN"/>
        </w:rPr>
      </w:pPr>
      <w:r>
        <w:rPr>
          <w:rFonts w:ascii="宋体" w:hAnsi="宋体" w:hint="eastAsia"/>
          <w:sz w:val="24"/>
        </w:rPr>
        <w:t>项目名称：</w:t>
      </w:r>
      <w:r>
        <w:rPr>
          <w:rFonts w:ascii="宋体" w:hAnsi="宋体" w:hint="eastAsia"/>
          <w:sz w:val="24"/>
          <w:lang w:eastAsia="zh-CN"/>
        </w:rPr>
        <w:t>2023-2024年基准年碳核查全流程技术支持服务</w:t>
      </w:r>
    </w:p>
    <w:tbl>
      <w:tblPr>
        <w:tblStyle w:val="TableGrid"/>
        <w:tblW w:w="939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101"/>
        <w:gridCol w:w="1513"/>
        <w:gridCol w:w="2411"/>
        <w:gridCol w:w="1849"/>
        <w:gridCol w:w="1404"/>
        <w:gridCol w:w="1118"/>
      </w:tblGrid>
      <w:tr>
        <w:tblPrEx>
          <w:tblW w:w="939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1276"/>
        </w:trPr>
        <w:tc>
          <w:tcPr>
            <w:tcW w:w="1101" w:type="dxa"/>
            <w:tcBorders>
              <w:top w:val="single" w:sz="12" w:space="0" w:color="auto"/>
              <w:left w:val="single" w:sz="12" w:space="0" w:color="auto"/>
            </w:tcBorders>
            <w:vAlign w:val="center"/>
          </w:tcPr>
          <w:p>
            <w:pPr>
              <w:adjustRightInd w:val="0"/>
              <w:snapToGrid w:val="0"/>
              <w:jc w:val="center"/>
              <w:rPr>
                <w:rFonts w:ascii="宋体" w:hAnsi="宋体" w:cs="Arial"/>
                <w:kern w:val="0"/>
                <w:sz w:val="24"/>
              </w:rPr>
            </w:pPr>
            <w:r>
              <w:rPr>
                <w:rFonts w:ascii="宋体" w:hAnsi="宋体" w:cs="Arial" w:hint="eastAsia"/>
                <w:kern w:val="0"/>
                <w:sz w:val="24"/>
              </w:rPr>
              <w:t>序号</w:t>
            </w:r>
          </w:p>
        </w:tc>
        <w:tc>
          <w:tcPr>
            <w:tcW w:w="1513" w:type="dxa"/>
            <w:tcBorders>
              <w:top w:val="single" w:sz="12" w:space="0" w:color="auto"/>
            </w:tcBorders>
            <w:vAlign w:val="center"/>
          </w:tcPr>
          <w:p>
            <w:pPr>
              <w:adjustRightInd w:val="0"/>
              <w:snapToGrid w:val="0"/>
              <w:jc w:val="center"/>
              <w:rPr>
                <w:rFonts w:ascii="宋体" w:hAnsi="宋体" w:cs="Arial"/>
                <w:kern w:val="0"/>
                <w:sz w:val="24"/>
              </w:rPr>
            </w:pPr>
            <w:r>
              <w:rPr>
                <w:rFonts w:ascii="宋体" w:hAnsi="宋体" w:cs="Arial" w:hint="eastAsia"/>
                <w:kern w:val="0"/>
                <w:sz w:val="24"/>
              </w:rPr>
              <w:t>名称</w:t>
            </w:r>
          </w:p>
          <w:p>
            <w:pPr>
              <w:adjustRightInd w:val="0"/>
              <w:snapToGrid w:val="0"/>
              <w:jc w:val="center"/>
              <w:rPr>
                <w:rFonts w:ascii="宋体" w:hAnsi="宋体" w:cs="Arial"/>
                <w:kern w:val="0"/>
                <w:sz w:val="24"/>
              </w:rPr>
            </w:pPr>
            <w:r>
              <w:rPr>
                <w:rFonts w:ascii="宋体" w:hAnsi="宋体" w:cs="Arial" w:hint="eastAsia"/>
                <w:kern w:val="0"/>
                <w:sz w:val="24"/>
              </w:rPr>
              <w:t>（姓名）</w:t>
            </w:r>
          </w:p>
        </w:tc>
        <w:tc>
          <w:tcPr>
            <w:tcW w:w="2411" w:type="dxa"/>
            <w:tcBorders>
              <w:top w:val="single" w:sz="12" w:space="0" w:color="auto"/>
              <w:right w:val="single" w:sz="6" w:space="0" w:color="auto"/>
            </w:tcBorders>
            <w:vAlign w:val="center"/>
          </w:tcPr>
          <w:p>
            <w:pPr>
              <w:adjustRightInd w:val="0"/>
              <w:snapToGrid w:val="0"/>
              <w:jc w:val="center"/>
              <w:rPr>
                <w:rFonts w:ascii="宋体" w:hAnsi="宋体" w:cs="Arial"/>
                <w:kern w:val="0"/>
                <w:sz w:val="24"/>
              </w:rPr>
            </w:pPr>
            <w:r>
              <w:rPr>
                <w:rFonts w:ascii="宋体" w:hAnsi="宋体" w:cs="Arial" w:hint="eastAsia"/>
                <w:kern w:val="0"/>
                <w:sz w:val="24"/>
              </w:rPr>
              <w:t>统一社会信息用代码（身份证号）</w:t>
            </w:r>
          </w:p>
        </w:tc>
        <w:tc>
          <w:tcPr>
            <w:tcW w:w="1849" w:type="dxa"/>
            <w:tcBorders>
              <w:top w:val="single" w:sz="12" w:space="0" w:color="auto"/>
              <w:left w:val="single" w:sz="6" w:space="0" w:color="auto"/>
            </w:tcBorders>
            <w:vAlign w:val="center"/>
          </w:tcPr>
          <w:p>
            <w:pPr>
              <w:adjustRightInd w:val="0"/>
              <w:snapToGrid w:val="0"/>
              <w:jc w:val="center"/>
              <w:rPr>
                <w:rFonts w:ascii="宋体" w:hAnsi="宋体" w:cs="Arial"/>
                <w:kern w:val="0"/>
                <w:sz w:val="24"/>
              </w:rPr>
            </w:pPr>
            <w:r>
              <w:rPr>
                <w:rFonts w:ascii="宋体" w:hAnsi="宋体" w:cs="Arial" w:hint="eastAsia"/>
                <w:kern w:val="0"/>
                <w:sz w:val="24"/>
              </w:rPr>
              <w:t>出资额</w:t>
            </w:r>
          </w:p>
          <w:p>
            <w:pPr>
              <w:adjustRightInd w:val="0"/>
              <w:snapToGrid w:val="0"/>
              <w:jc w:val="center"/>
              <w:rPr>
                <w:rFonts w:ascii="宋体" w:hAnsi="宋体" w:cs="Arial"/>
                <w:kern w:val="0"/>
                <w:sz w:val="24"/>
              </w:rPr>
            </w:pPr>
            <w:r>
              <w:rPr>
                <w:rFonts w:ascii="宋体" w:hAnsi="宋体" w:cs="Arial" w:hint="eastAsia"/>
                <w:kern w:val="0"/>
                <w:sz w:val="24"/>
              </w:rPr>
              <w:t>（人民币 万元）</w:t>
            </w:r>
          </w:p>
        </w:tc>
        <w:tc>
          <w:tcPr>
            <w:tcW w:w="1404" w:type="dxa"/>
            <w:tcBorders>
              <w:top w:val="single" w:sz="12" w:space="0" w:color="auto"/>
            </w:tcBorders>
            <w:vAlign w:val="center"/>
          </w:tcPr>
          <w:p>
            <w:pPr>
              <w:adjustRightInd w:val="0"/>
              <w:snapToGrid w:val="0"/>
              <w:jc w:val="center"/>
              <w:rPr>
                <w:rFonts w:ascii="宋体" w:hAnsi="宋体" w:cs="Arial"/>
                <w:kern w:val="0"/>
                <w:sz w:val="24"/>
              </w:rPr>
            </w:pPr>
            <w:r>
              <w:rPr>
                <w:rFonts w:ascii="宋体" w:hAnsi="宋体" w:cs="Arial" w:hint="eastAsia"/>
                <w:kern w:val="0"/>
                <w:sz w:val="24"/>
              </w:rPr>
              <w:t>出资方式</w:t>
            </w:r>
          </w:p>
        </w:tc>
        <w:tc>
          <w:tcPr>
            <w:tcW w:w="1118" w:type="dxa"/>
            <w:tcBorders>
              <w:top w:val="single" w:sz="12" w:space="0" w:color="auto"/>
              <w:left w:val="single" w:sz="6" w:space="0" w:color="auto"/>
              <w:right w:val="single" w:sz="12" w:space="0" w:color="auto"/>
            </w:tcBorders>
            <w:vAlign w:val="center"/>
          </w:tcPr>
          <w:p>
            <w:pPr>
              <w:adjustRightInd w:val="0"/>
              <w:snapToGrid w:val="0"/>
              <w:jc w:val="center"/>
              <w:rPr>
                <w:rFonts w:ascii="宋体" w:hAnsi="宋体" w:cs="Arial"/>
                <w:kern w:val="0"/>
                <w:sz w:val="24"/>
              </w:rPr>
            </w:pPr>
            <w:r>
              <w:rPr>
                <w:rFonts w:ascii="宋体" w:hAnsi="宋体" w:cs="Arial" w:hint="eastAsia"/>
                <w:kern w:val="0"/>
                <w:sz w:val="24"/>
              </w:rPr>
              <w:t>占全部股份比例</w:t>
            </w:r>
          </w:p>
        </w:tc>
      </w:tr>
      <w:tr>
        <w:tblPrEx>
          <w:tblW w:w="9396" w:type="dxa"/>
          <w:tblInd w:w="0" w:type="dxa"/>
          <w:tblLayout w:type="fixed"/>
          <w:tblCellMar>
            <w:top w:w="0" w:type="dxa"/>
            <w:left w:w="108" w:type="dxa"/>
            <w:bottom w:w="0" w:type="dxa"/>
            <w:right w:w="108" w:type="dxa"/>
          </w:tblCellMar>
        </w:tblPrEx>
        <w:trPr>
          <w:trHeight w:val="608"/>
        </w:trPr>
        <w:tc>
          <w:tcPr>
            <w:tcW w:w="1101" w:type="dxa"/>
            <w:tcBorders>
              <w:left w:val="single" w:sz="12" w:space="0" w:color="auto"/>
            </w:tcBorders>
          </w:tcPr>
          <w:p>
            <w:pPr>
              <w:jc w:val="center"/>
              <w:rPr>
                <w:rFonts w:ascii="宋体" w:hAnsi="宋体" w:cs="Arial"/>
                <w:kern w:val="0"/>
                <w:sz w:val="24"/>
              </w:rPr>
            </w:pPr>
            <w:r>
              <w:rPr>
                <w:rFonts w:ascii="宋体" w:hAnsi="宋体" w:cs="Arial" w:hint="eastAsia"/>
                <w:kern w:val="0"/>
                <w:sz w:val="24"/>
              </w:rPr>
              <w:t>1</w:t>
            </w:r>
          </w:p>
        </w:tc>
        <w:tc>
          <w:tcPr>
            <w:tcW w:w="1513" w:type="dxa"/>
          </w:tcPr>
          <w:p>
            <w:pPr>
              <w:jc w:val="center"/>
              <w:rPr>
                <w:rFonts w:ascii="宋体" w:hAnsi="宋体" w:cs="Arial"/>
                <w:kern w:val="0"/>
                <w:sz w:val="24"/>
              </w:rPr>
            </w:pPr>
          </w:p>
        </w:tc>
        <w:tc>
          <w:tcPr>
            <w:tcW w:w="2411" w:type="dxa"/>
            <w:tcBorders>
              <w:right w:val="single" w:sz="6" w:space="0" w:color="auto"/>
            </w:tcBorders>
          </w:tcPr>
          <w:p>
            <w:pPr>
              <w:jc w:val="center"/>
              <w:rPr>
                <w:rFonts w:ascii="宋体" w:hAnsi="宋体" w:cs="Arial"/>
                <w:kern w:val="0"/>
                <w:sz w:val="24"/>
              </w:rPr>
            </w:pPr>
          </w:p>
        </w:tc>
        <w:tc>
          <w:tcPr>
            <w:tcW w:w="1849" w:type="dxa"/>
            <w:tcBorders>
              <w:left w:val="single" w:sz="6" w:space="0" w:color="auto"/>
            </w:tcBorders>
          </w:tcPr>
          <w:p>
            <w:pPr>
              <w:jc w:val="center"/>
              <w:rPr>
                <w:rFonts w:ascii="宋体" w:hAnsi="宋体" w:cs="Arial"/>
                <w:kern w:val="0"/>
                <w:sz w:val="24"/>
              </w:rPr>
            </w:pPr>
          </w:p>
        </w:tc>
        <w:tc>
          <w:tcPr>
            <w:tcW w:w="1404" w:type="dxa"/>
          </w:tcPr>
          <w:p>
            <w:pPr>
              <w:jc w:val="center"/>
              <w:rPr>
                <w:rFonts w:ascii="宋体" w:hAnsi="宋体" w:cs="Arial"/>
                <w:kern w:val="0"/>
                <w:sz w:val="24"/>
              </w:rPr>
            </w:pPr>
          </w:p>
        </w:tc>
        <w:tc>
          <w:tcPr>
            <w:tcW w:w="1118" w:type="dxa"/>
            <w:tcBorders>
              <w:left w:val="single" w:sz="6" w:space="0" w:color="auto"/>
              <w:right w:val="single" w:sz="12" w:space="0" w:color="auto"/>
            </w:tcBorders>
          </w:tcPr>
          <w:p>
            <w:pPr>
              <w:jc w:val="center"/>
              <w:rPr>
                <w:rFonts w:ascii="宋体" w:hAnsi="宋体" w:cs="Arial"/>
                <w:kern w:val="0"/>
                <w:sz w:val="24"/>
              </w:rPr>
            </w:pPr>
          </w:p>
        </w:tc>
      </w:tr>
      <w:tr>
        <w:tblPrEx>
          <w:tblW w:w="9396" w:type="dxa"/>
          <w:tblInd w:w="0" w:type="dxa"/>
          <w:tblLayout w:type="fixed"/>
          <w:tblCellMar>
            <w:top w:w="0" w:type="dxa"/>
            <w:left w:w="108" w:type="dxa"/>
            <w:bottom w:w="0" w:type="dxa"/>
            <w:right w:w="108" w:type="dxa"/>
          </w:tblCellMar>
        </w:tblPrEx>
        <w:trPr>
          <w:trHeight w:val="608"/>
        </w:trPr>
        <w:tc>
          <w:tcPr>
            <w:tcW w:w="1101" w:type="dxa"/>
            <w:tcBorders>
              <w:left w:val="single" w:sz="12" w:space="0" w:color="auto"/>
            </w:tcBorders>
          </w:tcPr>
          <w:p>
            <w:pPr>
              <w:jc w:val="center"/>
              <w:rPr>
                <w:rFonts w:ascii="宋体" w:hAnsi="宋体" w:cs="Arial"/>
                <w:kern w:val="0"/>
                <w:sz w:val="24"/>
              </w:rPr>
            </w:pPr>
            <w:r>
              <w:rPr>
                <w:rFonts w:ascii="宋体" w:hAnsi="宋体" w:cs="Arial" w:hint="eastAsia"/>
                <w:kern w:val="0"/>
                <w:sz w:val="24"/>
              </w:rPr>
              <w:t>2</w:t>
            </w:r>
          </w:p>
        </w:tc>
        <w:tc>
          <w:tcPr>
            <w:tcW w:w="1513" w:type="dxa"/>
          </w:tcPr>
          <w:p>
            <w:pPr>
              <w:jc w:val="center"/>
              <w:rPr>
                <w:rFonts w:ascii="宋体" w:hAnsi="宋体" w:cs="Arial"/>
                <w:kern w:val="0"/>
                <w:sz w:val="24"/>
              </w:rPr>
            </w:pPr>
          </w:p>
        </w:tc>
        <w:tc>
          <w:tcPr>
            <w:tcW w:w="2411" w:type="dxa"/>
            <w:tcBorders>
              <w:right w:val="single" w:sz="6" w:space="0" w:color="auto"/>
            </w:tcBorders>
          </w:tcPr>
          <w:p>
            <w:pPr>
              <w:jc w:val="center"/>
              <w:rPr>
                <w:rFonts w:ascii="宋体" w:hAnsi="宋体" w:cs="Arial"/>
                <w:kern w:val="0"/>
                <w:sz w:val="24"/>
              </w:rPr>
            </w:pPr>
          </w:p>
        </w:tc>
        <w:tc>
          <w:tcPr>
            <w:tcW w:w="1849" w:type="dxa"/>
            <w:tcBorders>
              <w:left w:val="single" w:sz="6" w:space="0" w:color="auto"/>
            </w:tcBorders>
          </w:tcPr>
          <w:p>
            <w:pPr>
              <w:jc w:val="center"/>
              <w:rPr>
                <w:rFonts w:ascii="宋体" w:hAnsi="宋体" w:cs="Arial"/>
                <w:kern w:val="0"/>
                <w:sz w:val="24"/>
              </w:rPr>
            </w:pPr>
          </w:p>
        </w:tc>
        <w:tc>
          <w:tcPr>
            <w:tcW w:w="1404" w:type="dxa"/>
          </w:tcPr>
          <w:p>
            <w:pPr>
              <w:jc w:val="center"/>
              <w:rPr>
                <w:rFonts w:ascii="宋体" w:hAnsi="宋体" w:cs="Arial"/>
                <w:kern w:val="0"/>
                <w:sz w:val="24"/>
              </w:rPr>
            </w:pPr>
          </w:p>
        </w:tc>
        <w:tc>
          <w:tcPr>
            <w:tcW w:w="1118" w:type="dxa"/>
            <w:tcBorders>
              <w:left w:val="single" w:sz="6" w:space="0" w:color="auto"/>
              <w:right w:val="single" w:sz="12" w:space="0" w:color="auto"/>
            </w:tcBorders>
          </w:tcPr>
          <w:p>
            <w:pPr>
              <w:jc w:val="center"/>
              <w:rPr>
                <w:rFonts w:ascii="宋体" w:hAnsi="宋体" w:cs="Arial"/>
                <w:kern w:val="0"/>
                <w:sz w:val="24"/>
              </w:rPr>
            </w:pPr>
          </w:p>
        </w:tc>
      </w:tr>
      <w:tr>
        <w:tblPrEx>
          <w:tblW w:w="9396" w:type="dxa"/>
          <w:tblInd w:w="0" w:type="dxa"/>
          <w:tblLayout w:type="fixed"/>
          <w:tblCellMar>
            <w:top w:w="0" w:type="dxa"/>
            <w:left w:w="108" w:type="dxa"/>
            <w:bottom w:w="0" w:type="dxa"/>
            <w:right w:w="108" w:type="dxa"/>
          </w:tblCellMar>
        </w:tblPrEx>
        <w:trPr>
          <w:trHeight w:val="608"/>
        </w:trPr>
        <w:tc>
          <w:tcPr>
            <w:tcW w:w="1101" w:type="dxa"/>
            <w:tcBorders>
              <w:left w:val="single" w:sz="12" w:space="0" w:color="auto"/>
              <w:bottom w:val="single" w:sz="12" w:space="0" w:color="auto"/>
            </w:tcBorders>
          </w:tcPr>
          <w:p>
            <w:pPr>
              <w:jc w:val="center"/>
              <w:rPr>
                <w:rFonts w:ascii="宋体" w:hAnsi="宋体" w:cs="Arial"/>
                <w:kern w:val="0"/>
                <w:sz w:val="24"/>
              </w:rPr>
            </w:pPr>
            <w:r>
              <w:rPr>
                <w:rFonts w:ascii="宋体" w:hAnsi="宋体" w:cs="Arial" w:hint="eastAsia"/>
                <w:kern w:val="0"/>
                <w:sz w:val="24"/>
              </w:rPr>
              <w:t>…</w:t>
            </w:r>
          </w:p>
        </w:tc>
        <w:tc>
          <w:tcPr>
            <w:tcW w:w="1513" w:type="dxa"/>
            <w:tcBorders>
              <w:bottom w:val="single" w:sz="12" w:space="0" w:color="auto"/>
            </w:tcBorders>
          </w:tcPr>
          <w:p>
            <w:pPr>
              <w:jc w:val="center"/>
              <w:rPr>
                <w:rFonts w:ascii="宋体" w:hAnsi="宋体" w:cs="Arial"/>
                <w:kern w:val="0"/>
                <w:sz w:val="24"/>
              </w:rPr>
            </w:pPr>
          </w:p>
        </w:tc>
        <w:tc>
          <w:tcPr>
            <w:tcW w:w="2411" w:type="dxa"/>
            <w:tcBorders>
              <w:bottom w:val="single" w:sz="12" w:space="0" w:color="auto"/>
              <w:right w:val="single" w:sz="6" w:space="0" w:color="auto"/>
            </w:tcBorders>
          </w:tcPr>
          <w:p>
            <w:pPr>
              <w:jc w:val="center"/>
              <w:rPr>
                <w:rFonts w:ascii="宋体" w:hAnsi="宋体" w:cs="Arial"/>
                <w:kern w:val="0"/>
                <w:sz w:val="24"/>
              </w:rPr>
            </w:pPr>
          </w:p>
        </w:tc>
        <w:tc>
          <w:tcPr>
            <w:tcW w:w="1849" w:type="dxa"/>
            <w:tcBorders>
              <w:left w:val="single" w:sz="6" w:space="0" w:color="auto"/>
              <w:bottom w:val="single" w:sz="12" w:space="0" w:color="auto"/>
            </w:tcBorders>
          </w:tcPr>
          <w:p>
            <w:pPr>
              <w:jc w:val="center"/>
              <w:rPr>
                <w:rFonts w:ascii="宋体" w:hAnsi="宋体" w:cs="Arial"/>
                <w:kern w:val="0"/>
                <w:sz w:val="24"/>
              </w:rPr>
            </w:pPr>
          </w:p>
        </w:tc>
        <w:tc>
          <w:tcPr>
            <w:tcW w:w="1404" w:type="dxa"/>
            <w:tcBorders>
              <w:bottom w:val="single" w:sz="12" w:space="0" w:color="auto"/>
            </w:tcBorders>
          </w:tcPr>
          <w:p>
            <w:pPr>
              <w:jc w:val="center"/>
              <w:rPr>
                <w:rFonts w:ascii="宋体" w:hAnsi="宋体" w:cs="Arial"/>
                <w:kern w:val="0"/>
                <w:sz w:val="24"/>
              </w:rPr>
            </w:pPr>
          </w:p>
        </w:tc>
        <w:tc>
          <w:tcPr>
            <w:tcW w:w="1118" w:type="dxa"/>
            <w:tcBorders>
              <w:left w:val="single" w:sz="6" w:space="0" w:color="auto"/>
              <w:bottom w:val="single" w:sz="12" w:space="0" w:color="auto"/>
              <w:right w:val="single" w:sz="12" w:space="0" w:color="auto"/>
            </w:tcBorders>
          </w:tcPr>
          <w:p>
            <w:pPr>
              <w:jc w:val="center"/>
              <w:rPr>
                <w:rFonts w:ascii="宋体" w:hAnsi="宋体" w:cs="Arial"/>
                <w:kern w:val="0"/>
                <w:sz w:val="24"/>
              </w:rPr>
            </w:pPr>
          </w:p>
        </w:tc>
      </w:tr>
    </w:tbl>
    <w:p>
      <w:pPr>
        <w:spacing w:line="360" w:lineRule="auto"/>
        <w:ind w:firstLine="309" w:firstLineChars="147"/>
        <w:rPr>
          <w:rFonts w:ascii="宋体" w:hAnsi="宋体" w:cs="Arial"/>
          <w:b/>
          <w:sz w:val="24"/>
        </w:rPr>
      </w:pPr>
      <w:r>
        <w:rPr>
          <w:rFonts w:ascii="宋体" w:hAnsi="宋体" w:cs="Arial" w:hint="eastAsia"/>
          <w:b/>
          <w:sz w:val="24"/>
        </w:rPr>
        <w:t>我方承诺，以上信息真实可靠；如填报的股东出资额、出资比例等与实际不符，且属于虚假应标情形，视为放弃中标资格。</w:t>
      </w:r>
    </w:p>
    <w:p>
      <w:pPr>
        <w:spacing w:line="360" w:lineRule="auto"/>
        <w:rPr>
          <w:rFonts w:ascii="宋体" w:hAnsi="宋体" w:cs="Arial"/>
          <w:sz w:val="24"/>
        </w:rPr>
      </w:pPr>
      <w:r>
        <w:rPr>
          <w:rFonts w:ascii="宋体" w:hAnsi="宋体" w:cs="Arial" w:hint="eastAsia"/>
          <w:sz w:val="24"/>
        </w:rPr>
        <w:t>备注：</w:t>
      </w:r>
    </w:p>
    <w:p>
      <w:pPr>
        <w:pStyle w:val="ListParagraph"/>
        <w:numPr>
          <w:ilvl w:val="0"/>
          <w:numId w:val="77"/>
        </w:numPr>
        <w:spacing w:line="360" w:lineRule="auto"/>
        <w:ind w:firstLineChars="0"/>
        <w:rPr>
          <w:rFonts w:ascii="宋体" w:hAnsi="宋体" w:cs="Arial"/>
          <w:sz w:val="24"/>
        </w:rPr>
      </w:pPr>
      <w:r>
        <w:rPr>
          <w:rFonts w:ascii="宋体" w:hAnsi="宋体" w:cs="Arial" w:hint="eastAsia"/>
          <w:sz w:val="24"/>
        </w:rPr>
        <w:t>主要股东或出资人为法人的，填写法人全称及统一社会信息用代码（尚未办理三证合一的填写组织机构代码）；为自然人的，填写自然人姓名和身份证号。</w:t>
      </w:r>
    </w:p>
    <w:p>
      <w:pPr>
        <w:pStyle w:val="ListParagraph"/>
        <w:numPr>
          <w:ilvl w:val="0"/>
          <w:numId w:val="77"/>
        </w:numPr>
        <w:spacing w:line="360" w:lineRule="auto"/>
        <w:ind w:firstLineChars="0"/>
        <w:rPr>
          <w:rFonts w:ascii="宋体" w:hAnsi="宋体" w:cs="Arial"/>
          <w:sz w:val="24"/>
        </w:rPr>
      </w:pPr>
      <w:r>
        <w:rPr>
          <w:rFonts w:ascii="宋体" w:hAnsi="宋体" w:cs="Arial" w:hint="eastAsia"/>
          <w:sz w:val="24"/>
        </w:rPr>
        <w:t>出资方式填写：货币、实物、工艺产权和非专利技术、土地使用权等。</w:t>
      </w:r>
    </w:p>
    <w:p>
      <w:pPr>
        <w:pStyle w:val="ListParagraph"/>
        <w:numPr>
          <w:ilvl w:val="0"/>
          <w:numId w:val="77"/>
        </w:numPr>
        <w:spacing w:line="360" w:lineRule="auto"/>
        <w:ind w:firstLineChars="0"/>
        <w:rPr>
          <w:rFonts w:ascii="宋体" w:hAnsi="宋体" w:cs="Arial"/>
          <w:sz w:val="24"/>
        </w:rPr>
      </w:pPr>
      <w:r>
        <w:rPr>
          <w:rFonts w:ascii="宋体" w:hAnsi="宋体" w:cs="Arial" w:hint="eastAsia"/>
          <w:sz w:val="24"/>
        </w:rPr>
        <w:t>投标单位应按照占全部股份比例从大到小依次逐个股东填写，股东数量多于10个的，填写前10名，不足10个全部填写。</w:t>
      </w:r>
    </w:p>
    <w:p>
      <w:pPr>
        <w:adjustRightInd w:val="0"/>
        <w:snapToGrid w:val="0"/>
        <w:spacing w:line="360" w:lineRule="auto"/>
        <w:jc w:val="left"/>
        <w:rPr>
          <w:sz w:val="24"/>
        </w:rPr>
      </w:pPr>
    </w:p>
    <w:p>
      <w:pPr>
        <w:widowControl/>
        <w:jc w:val="left"/>
        <w:rPr>
          <w:rFonts w:ascii="黑体" w:eastAsia="黑体" w:hAnsi="黑体"/>
          <w:color w:val="00B0F0"/>
          <w:sz w:val="24"/>
        </w:rPr>
      </w:pPr>
      <w:r>
        <w:rPr>
          <w:rFonts w:ascii="黑体" w:eastAsia="黑体" w:hAnsi="黑体"/>
          <w:color w:val="00B0F0"/>
          <w:sz w:val="24"/>
        </w:rPr>
        <w:br w:type="page"/>
      </w:r>
    </w:p>
    <w:p>
      <w:pPr>
        <w:pStyle w:val="Heading2"/>
        <w:numPr>
          <w:ilvl w:val="0"/>
          <w:numId w:val="72"/>
        </w:numPr>
        <w:spacing w:line="240" w:lineRule="auto"/>
        <w:jc w:val="center"/>
        <w:rPr>
          <w:rFonts w:ascii="宋体" w:hAnsi="宋体"/>
        </w:rPr>
      </w:pPr>
      <w:bookmarkStart w:id="195" w:name="_Toc30664878"/>
      <w:bookmarkStart w:id="196" w:name="_Toc32445"/>
      <w:bookmarkStart w:id="197" w:name="_Toc28069"/>
      <w:bookmarkStart w:id="198" w:name="_Toc256000034"/>
      <w:r>
        <w:rPr>
          <w:rFonts w:ascii="宋体" w:hAnsi="宋体" w:hint="eastAsia"/>
        </w:rPr>
        <w:t>声明函</w:t>
      </w:r>
      <w:bookmarkEnd w:id="198"/>
      <w:bookmarkEnd w:id="195"/>
      <w:bookmarkEnd w:id="196"/>
      <w:bookmarkEnd w:id="197"/>
    </w:p>
    <w:p>
      <w:pPr>
        <w:ind w:left="2"/>
        <w:jc w:val="center"/>
        <w:rPr>
          <w:rFonts w:ascii="宋体" w:eastAsia="宋体" w:hAnsi="宋体" w:cs="宋体" w:hint="eastAsia"/>
          <w:b/>
          <w:color w:val="auto"/>
          <w:sz w:val="28"/>
          <w:szCs w:val="28"/>
          <w:highlight w:val="none"/>
        </w:rPr>
      </w:pPr>
      <w:r>
        <w:rPr>
          <w:rFonts w:ascii="宋体" w:eastAsia="宋体" w:hAnsi="宋体" w:cs="宋体" w:hint="eastAsia"/>
          <w:b/>
          <w:color w:val="auto"/>
          <w:sz w:val="28"/>
          <w:szCs w:val="28"/>
          <w:highlight w:val="none"/>
        </w:rPr>
        <w:t>投标人按招标文件要求提供本国产品/服务书面声明函</w:t>
      </w:r>
    </w:p>
    <w:p>
      <w:pPr>
        <w:spacing w:line="360" w:lineRule="auto"/>
        <w:ind w:firstLine="420" w:firstLineChars="200"/>
        <w:rPr>
          <w:rFonts w:ascii="宋体" w:eastAsia="宋体" w:hAnsi="宋体" w:cs="宋体" w:hint="eastAsia"/>
          <w:color w:val="auto"/>
          <w:sz w:val="24"/>
          <w:highlight w:val="none"/>
        </w:rPr>
      </w:pPr>
      <w:r>
        <w:rPr>
          <w:rFonts w:ascii="宋体" w:eastAsia="宋体" w:hAnsi="宋体" w:cs="宋体" w:hint="eastAsia"/>
          <w:color w:val="auto"/>
          <w:sz w:val="24"/>
          <w:highlight w:val="none"/>
        </w:rPr>
        <w:t>致：采联国际招标采购集团有限公司</w:t>
      </w:r>
    </w:p>
    <w:p>
      <w:pPr>
        <w:spacing w:line="360" w:lineRule="auto"/>
        <w:ind w:firstLine="420" w:firstLineChars="200"/>
        <w:rPr>
          <w:rFonts w:ascii="宋体" w:eastAsia="宋体" w:hAnsi="宋体" w:cs="宋体" w:hint="eastAsia"/>
          <w:color w:val="auto"/>
          <w:sz w:val="24"/>
          <w:highlight w:val="none"/>
        </w:rPr>
      </w:pPr>
      <w:r>
        <w:rPr>
          <w:rFonts w:ascii="宋体" w:eastAsia="宋体" w:hAnsi="宋体" w:cs="宋体" w:hint="eastAsia"/>
          <w:color w:val="auto"/>
          <w:sz w:val="24"/>
          <w:highlight w:val="none"/>
        </w:rPr>
        <w:t>在参与</w:t>
      </w:r>
      <w:r>
        <w:rPr>
          <w:rFonts w:ascii="宋体" w:eastAsia="宋体" w:hAnsi="宋体" w:cs="宋体" w:hint="eastAsia"/>
          <w:color w:val="auto"/>
          <w:sz w:val="24"/>
          <w:highlight w:val="none"/>
          <w:lang w:eastAsia="zh-CN"/>
        </w:rPr>
        <w:t>2023-2024年基准年碳核查全流程技术支持服务</w:t>
      </w:r>
      <w:r>
        <w:rPr>
          <w:rFonts w:ascii="宋体" w:eastAsia="宋体" w:hAnsi="宋体" w:cs="宋体" w:hint="eastAsia"/>
          <w:color w:val="auto"/>
          <w:sz w:val="24"/>
          <w:highlight w:val="none"/>
        </w:rPr>
        <w:t>（项目编号：</w:t>
      </w:r>
      <w:r>
        <w:rPr>
          <w:rFonts w:ascii="宋体" w:hAnsi="宋体" w:cs="宋体" w:hint="eastAsia"/>
          <w:color w:val="auto"/>
          <w:sz w:val="24"/>
          <w:highlight w:val="none"/>
          <w:lang w:eastAsia="zh-CN"/>
        </w:rPr>
        <w:t>SZDL2022002374（CLF0122SZ17ZC77）</w:t>
      </w:r>
      <w:r>
        <w:rPr>
          <w:rFonts w:ascii="宋体" w:eastAsia="宋体" w:hAnsi="宋体" w:cs="宋体" w:hint="eastAsia"/>
          <w:color w:val="auto"/>
          <w:sz w:val="24"/>
          <w:highlight w:val="none"/>
        </w:rPr>
        <w:t>）政府采购活动时，本单位（公司）承诺按招标文件要求提供本国产品/服务。</w:t>
      </w:r>
    </w:p>
    <w:p>
      <w:pPr>
        <w:spacing w:line="360" w:lineRule="auto"/>
        <w:ind w:firstLine="420" w:firstLineChars="200"/>
        <w:rPr>
          <w:sz w:val="24"/>
        </w:rPr>
      </w:pPr>
    </w:p>
    <w:p>
      <w:pPr>
        <w:spacing w:line="360" w:lineRule="auto"/>
        <w:ind w:firstLine="420" w:firstLineChars="200"/>
        <w:rPr>
          <w:sz w:val="24"/>
        </w:rPr>
      </w:pPr>
      <w:r>
        <w:rPr>
          <w:rFonts w:hint="eastAsia"/>
          <w:sz w:val="24"/>
        </w:rPr>
        <w:t>特此声明。</w:t>
      </w:r>
    </w:p>
    <w:p>
      <w:pPr>
        <w:spacing w:line="360" w:lineRule="auto"/>
        <w:ind w:firstLine="3570" w:firstLineChars="1700"/>
        <w:rPr>
          <w:sz w:val="24"/>
        </w:rPr>
      </w:pPr>
      <w:r>
        <w:rPr>
          <w:rFonts w:hint="eastAsia"/>
          <w:sz w:val="24"/>
        </w:rPr>
        <w:t xml:space="preserve">                              </w:t>
      </w:r>
    </w:p>
    <w:p>
      <w:pPr>
        <w:spacing w:line="360" w:lineRule="auto"/>
        <w:ind w:firstLine="4620" w:firstLineChars="2200"/>
        <w:jc w:val="left"/>
        <w:rPr>
          <w:sz w:val="24"/>
        </w:rPr>
      </w:pPr>
      <w:r>
        <w:rPr>
          <w:rFonts w:ascii="宋体" w:hAnsi="宋体" w:hint="eastAsia"/>
          <w:sz w:val="24"/>
        </w:rPr>
        <w:t xml:space="preserve">  </w:t>
      </w:r>
    </w:p>
    <w:p>
      <w:pPr>
        <w:spacing w:line="360" w:lineRule="auto"/>
        <w:ind w:firstLine="420" w:firstLineChars="200"/>
        <w:rPr>
          <w:sz w:val="24"/>
        </w:rPr>
      </w:pPr>
    </w:p>
    <w:p>
      <w:pPr>
        <w:spacing w:line="360" w:lineRule="auto"/>
        <w:ind w:firstLine="420" w:firstLineChars="200"/>
        <w:rPr>
          <w:sz w:val="24"/>
        </w:rPr>
      </w:pPr>
    </w:p>
    <w:p>
      <w:pPr>
        <w:spacing w:line="360" w:lineRule="auto"/>
        <w:ind w:firstLine="420" w:firstLineChars="200"/>
        <w:rPr>
          <w:sz w:val="24"/>
        </w:rPr>
      </w:pPr>
      <w:r>
        <w:rPr>
          <w:rFonts w:hint="eastAsia"/>
          <w:sz w:val="24"/>
        </w:rPr>
        <w:t>备注：投标人必须根据上述声明函格式内容填写，否则作投标无效处理。</w:t>
      </w:r>
    </w:p>
    <w:p>
      <w:pPr>
        <w:spacing w:line="360" w:lineRule="auto"/>
        <w:ind w:firstLine="420" w:firstLineChars="200"/>
        <w:rPr>
          <w:sz w:val="24"/>
        </w:rPr>
      </w:pPr>
    </w:p>
    <w:p>
      <w:pPr>
        <w:widowControl/>
        <w:jc w:val="left"/>
        <w:rPr>
          <w:b/>
          <w:szCs w:val="21"/>
        </w:rPr>
      </w:pPr>
      <w:r>
        <w:rPr>
          <w:sz w:val="24"/>
        </w:rPr>
        <w:br w:type="page"/>
      </w:r>
    </w:p>
    <w:p>
      <w:pPr>
        <w:pStyle w:val="Heading2"/>
        <w:numPr>
          <w:ilvl w:val="0"/>
          <w:numId w:val="72"/>
        </w:numPr>
        <w:spacing w:line="240" w:lineRule="auto"/>
        <w:jc w:val="center"/>
        <w:rPr>
          <w:b w:val="0"/>
          <w:color w:val="auto"/>
        </w:rPr>
      </w:pPr>
      <w:bookmarkStart w:id="199" w:name="_承诺函"/>
      <w:bookmarkEnd w:id="199"/>
      <w:bookmarkStart w:id="200" w:name="_Toc18489"/>
      <w:bookmarkStart w:id="201" w:name="_Toc435515310"/>
      <w:bookmarkStart w:id="202" w:name="_Toc50737301"/>
      <w:bookmarkStart w:id="203" w:name="_Toc50703730"/>
      <w:bookmarkStart w:id="204" w:name="_Toc43264518"/>
      <w:bookmarkStart w:id="205" w:name="_Toc275865617"/>
      <w:bookmarkStart w:id="206" w:name="_Toc43264525"/>
      <w:bookmarkStart w:id="207" w:name="_Toc30664887"/>
      <w:bookmarkStart w:id="208" w:name="_Toc16957"/>
      <w:bookmarkStart w:id="209" w:name="_Toc50691037"/>
      <w:bookmarkStart w:id="210" w:name="_Toc50736481"/>
      <w:bookmarkStart w:id="211" w:name="_Toc50737333"/>
      <w:bookmarkStart w:id="212" w:name="_Toc52165085"/>
      <w:bookmarkStart w:id="213" w:name="_Toc50691044"/>
      <w:bookmarkStart w:id="214" w:name="_Toc435514873"/>
      <w:bookmarkStart w:id="215" w:name="_Toc435514870"/>
      <w:bookmarkStart w:id="216" w:name="_Toc435515313"/>
      <w:bookmarkStart w:id="217" w:name="_Toc256000035"/>
      <w:r>
        <w:rPr>
          <w:rFonts w:hint="eastAsia"/>
          <w:b w:val="0"/>
          <w:color w:val="auto"/>
        </w:rPr>
        <w:t>投标人通过相关认证情况</w:t>
      </w:r>
      <w:bookmarkEnd w:id="217"/>
      <w:bookmarkEnd w:id="200"/>
    </w:p>
    <w:p>
      <w:pPr>
        <w:rPr>
          <w:b w:val="0"/>
          <w:color w:val="auto"/>
        </w:rPr>
      </w:pPr>
      <w:r>
        <w:rPr>
          <w:rFonts w:hint="eastAsia"/>
          <w:b w:val="0"/>
          <w:color w:val="auto"/>
        </w:rPr>
        <w:br w:type="page"/>
      </w:r>
    </w:p>
    <w:p>
      <w:pPr>
        <w:pStyle w:val="Heading2"/>
        <w:numPr>
          <w:ilvl w:val="0"/>
          <w:numId w:val="72"/>
        </w:numPr>
        <w:spacing w:line="240" w:lineRule="auto"/>
        <w:jc w:val="center"/>
        <w:rPr>
          <w:b w:val="0"/>
          <w:color w:val="auto"/>
        </w:rPr>
      </w:pPr>
      <w:bookmarkStart w:id="218" w:name="_Toc27212"/>
      <w:bookmarkStart w:id="219" w:name="_Toc256000036"/>
      <w:r>
        <w:rPr>
          <w:rFonts w:hint="eastAsia"/>
          <w:b w:val="0"/>
          <w:color w:val="auto"/>
        </w:rPr>
        <w:t>同类项目情况一览表</w:t>
      </w:r>
      <w:bookmarkEnd w:id="219"/>
      <w:bookmarkEnd w:id="218"/>
    </w:p>
    <w:p>
      <w:pPr>
        <w:widowControl/>
        <w:wordWrap w:val="0"/>
        <w:spacing w:line="360" w:lineRule="auto"/>
        <w:jc w:val="left"/>
        <w:rPr>
          <w:rFonts w:ascii="宋体" w:hAnsi="宋体"/>
          <w:color w:val="auto"/>
          <w:sz w:val="24"/>
        </w:rPr>
      </w:pPr>
      <w:r>
        <w:rPr>
          <w:rFonts w:ascii="宋体" w:hAnsi="宋体" w:hint="eastAsia"/>
          <w:color w:val="auto"/>
          <w:sz w:val="24"/>
        </w:rPr>
        <w:t>投标人名称：                   项目编号：</w:t>
      </w:r>
      <w:r>
        <w:rPr>
          <w:rFonts w:ascii="宋体" w:hAnsi="宋体" w:hint="eastAsia"/>
          <w:color w:val="auto"/>
          <w:sz w:val="24"/>
          <w:lang w:eastAsia="zh-CN"/>
        </w:rPr>
        <w:t>SZDL2022002374（CLF0122SZ17ZC77）</w:t>
      </w:r>
      <w:r>
        <w:rPr>
          <w:rFonts w:ascii="ˎ̥" w:hAnsi="ˎ̥" w:cs="宋体"/>
          <w:color w:val="auto"/>
          <w:kern w:val="0"/>
          <w:sz w:val="24"/>
        </w:rPr>
        <w:t> </w:t>
      </w:r>
    </w:p>
    <w:tbl>
      <w:tblPr>
        <w:tblStyle w:val="TableNormal"/>
        <w:tblW w:w="9872" w:type="dxa"/>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0" w:type="dxa"/>
          <w:left w:w="108" w:type="dxa"/>
          <w:bottom w:w="0" w:type="dxa"/>
          <w:right w:w="108" w:type="dxa"/>
        </w:tblCellMar>
      </w:tblPr>
      <w:tblGrid>
        <w:gridCol w:w="680"/>
        <w:gridCol w:w="1460"/>
        <w:gridCol w:w="1658"/>
        <w:gridCol w:w="1442"/>
        <w:gridCol w:w="2176"/>
        <w:gridCol w:w="2456"/>
      </w:tblGrid>
      <w:tr>
        <w:tblPrEx>
          <w:tblW w:w="9872" w:type="dxa"/>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0" w:type="dxa"/>
            <w:left w:w="108" w:type="dxa"/>
            <w:bottom w:w="0" w:type="dxa"/>
            <w:right w:w="108" w:type="dxa"/>
          </w:tblCellMar>
        </w:tblPrEx>
        <w:trPr>
          <w:trHeight w:val="511"/>
        </w:trPr>
        <w:tc>
          <w:tcPr>
            <w:tcW w:w="680" w:type="dxa"/>
            <w:tcBorders>
              <w:top w:val="single" w:sz="12" w:space="0" w:color="auto"/>
              <w:bottom w:val="double" w:sz="4" w:space="0" w:color="auto"/>
            </w:tcBorders>
            <w:shd w:val="clear" w:color="auto" w:fill="EEECE1"/>
            <w:vAlign w:val="center"/>
          </w:tcPr>
          <w:p>
            <w:pPr>
              <w:adjustRightInd w:val="0"/>
              <w:snapToGrid w:val="0"/>
              <w:ind w:left="-84" w:right="-107" w:leftChars="-40" w:rightChars="-51"/>
              <w:jc w:val="center"/>
              <w:rPr>
                <w:color w:val="auto"/>
                <w:sz w:val="24"/>
              </w:rPr>
            </w:pPr>
            <w:r>
              <w:rPr>
                <w:rFonts w:hint="eastAsia"/>
                <w:color w:val="auto"/>
                <w:sz w:val="24"/>
              </w:rPr>
              <w:t>序号</w:t>
            </w:r>
          </w:p>
        </w:tc>
        <w:tc>
          <w:tcPr>
            <w:tcW w:w="1460" w:type="dxa"/>
            <w:tcBorders>
              <w:top w:val="single" w:sz="12" w:space="0" w:color="auto"/>
              <w:bottom w:val="double" w:sz="4" w:space="0" w:color="auto"/>
            </w:tcBorders>
            <w:shd w:val="clear" w:color="auto" w:fill="EEECE1"/>
            <w:vAlign w:val="center"/>
          </w:tcPr>
          <w:p>
            <w:pPr>
              <w:adjustRightInd w:val="0"/>
              <w:snapToGrid w:val="0"/>
              <w:jc w:val="center"/>
              <w:rPr>
                <w:color w:val="auto"/>
                <w:sz w:val="24"/>
              </w:rPr>
            </w:pPr>
            <w:r>
              <w:rPr>
                <w:rFonts w:hint="eastAsia"/>
                <w:color w:val="auto"/>
                <w:sz w:val="24"/>
              </w:rPr>
              <w:t>采购人名称</w:t>
            </w:r>
          </w:p>
        </w:tc>
        <w:tc>
          <w:tcPr>
            <w:tcW w:w="1658" w:type="dxa"/>
            <w:tcBorders>
              <w:top w:val="single" w:sz="12" w:space="0" w:color="auto"/>
              <w:bottom w:val="double" w:sz="4" w:space="0" w:color="auto"/>
            </w:tcBorders>
            <w:shd w:val="clear" w:color="auto" w:fill="EEECE1"/>
            <w:vAlign w:val="center"/>
          </w:tcPr>
          <w:p>
            <w:pPr>
              <w:adjustRightInd w:val="0"/>
              <w:snapToGrid w:val="0"/>
              <w:jc w:val="center"/>
              <w:rPr>
                <w:color w:val="auto"/>
                <w:sz w:val="24"/>
              </w:rPr>
            </w:pPr>
            <w:r>
              <w:rPr>
                <w:rFonts w:hint="eastAsia"/>
                <w:color w:val="auto"/>
                <w:sz w:val="24"/>
              </w:rPr>
              <w:t>项目名称</w:t>
            </w:r>
          </w:p>
        </w:tc>
        <w:tc>
          <w:tcPr>
            <w:tcW w:w="1442" w:type="dxa"/>
            <w:tcBorders>
              <w:top w:val="single" w:sz="12" w:space="0" w:color="auto"/>
              <w:bottom w:val="double" w:sz="4" w:space="0" w:color="auto"/>
            </w:tcBorders>
            <w:shd w:val="clear" w:color="auto" w:fill="EEECE1"/>
            <w:vAlign w:val="center"/>
          </w:tcPr>
          <w:p>
            <w:pPr>
              <w:adjustRightInd w:val="0"/>
              <w:snapToGrid w:val="0"/>
              <w:jc w:val="center"/>
              <w:rPr>
                <w:color w:val="auto"/>
                <w:sz w:val="24"/>
              </w:rPr>
            </w:pPr>
            <w:r>
              <w:rPr>
                <w:rFonts w:hint="eastAsia"/>
                <w:color w:val="auto"/>
                <w:sz w:val="24"/>
              </w:rPr>
              <w:t>合同总价</w:t>
            </w:r>
          </w:p>
        </w:tc>
        <w:tc>
          <w:tcPr>
            <w:tcW w:w="2176" w:type="dxa"/>
            <w:tcBorders>
              <w:top w:val="single" w:sz="12" w:space="0" w:color="auto"/>
              <w:bottom w:val="double" w:sz="4" w:space="0" w:color="auto"/>
            </w:tcBorders>
            <w:shd w:val="clear" w:color="auto" w:fill="EEECE1"/>
            <w:vAlign w:val="center"/>
          </w:tcPr>
          <w:p>
            <w:pPr>
              <w:adjustRightInd w:val="0"/>
              <w:snapToGrid w:val="0"/>
              <w:jc w:val="center"/>
              <w:rPr>
                <w:color w:val="auto"/>
                <w:sz w:val="24"/>
              </w:rPr>
            </w:pPr>
            <w:r>
              <w:rPr>
                <w:rFonts w:hint="eastAsia"/>
                <w:color w:val="auto"/>
                <w:sz w:val="24"/>
              </w:rPr>
              <w:t>签约及完成时间</w:t>
            </w:r>
          </w:p>
        </w:tc>
        <w:tc>
          <w:tcPr>
            <w:tcW w:w="2456" w:type="dxa"/>
            <w:tcBorders>
              <w:top w:val="single" w:sz="12" w:space="0" w:color="auto"/>
              <w:bottom w:val="double" w:sz="4" w:space="0" w:color="auto"/>
            </w:tcBorders>
            <w:shd w:val="clear" w:color="auto" w:fill="EEECE1"/>
            <w:vAlign w:val="center"/>
          </w:tcPr>
          <w:p>
            <w:pPr>
              <w:adjustRightInd w:val="0"/>
              <w:snapToGrid w:val="0"/>
              <w:jc w:val="center"/>
              <w:rPr>
                <w:color w:val="auto"/>
                <w:sz w:val="24"/>
              </w:rPr>
            </w:pPr>
            <w:r>
              <w:rPr>
                <w:rFonts w:hint="eastAsia"/>
                <w:color w:val="auto"/>
                <w:sz w:val="24"/>
              </w:rPr>
              <w:t>单位联系人及电话</w:t>
            </w:r>
          </w:p>
        </w:tc>
      </w:tr>
      <w:tr>
        <w:tblPrEx>
          <w:tblW w:w="9872" w:type="dxa"/>
          <w:tblInd w:w="0" w:type="dxa"/>
          <w:tblLayout w:type="fixed"/>
          <w:tblCellMar>
            <w:top w:w="0" w:type="dxa"/>
            <w:left w:w="108" w:type="dxa"/>
            <w:bottom w:w="0" w:type="dxa"/>
            <w:right w:w="108" w:type="dxa"/>
          </w:tblCellMar>
        </w:tblPrEx>
        <w:trPr>
          <w:trHeight w:val="382"/>
        </w:trPr>
        <w:tc>
          <w:tcPr>
            <w:tcW w:w="680" w:type="dxa"/>
            <w:tcBorders>
              <w:top w:val="double" w:sz="4" w:space="0" w:color="auto"/>
            </w:tcBorders>
            <w:vAlign w:val="center"/>
          </w:tcPr>
          <w:p>
            <w:pPr>
              <w:spacing w:line="400" w:lineRule="exact"/>
              <w:jc w:val="center"/>
              <w:rPr>
                <w:color w:val="auto"/>
                <w:sz w:val="24"/>
              </w:rPr>
            </w:pPr>
          </w:p>
        </w:tc>
        <w:tc>
          <w:tcPr>
            <w:tcW w:w="1460" w:type="dxa"/>
            <w:tcBorders>
              <w:top w:val="double" w:sz="4" w:space="0" w:color="auto"/>
            </w:tcBorders>
            <w:vAlign w:val="center"/>
          </w:tcPr>
          <w:p>
            <w:pPr>
              <w:spacing w:line="400" w:lineRule="exact"/>
              <w:jc w:val="center"/>
              <w:rPr>
                <w:color w:val="auto"/>
                <w:sz w:val="24"/>
              </w:rPr>
            </w:pPr>
          </w:p>
        </w:tc>
        <w:tc>
          <w:tcPr>
            <w:tcW w:w="1658" w:type="dxa"/>
            <w:tcBorders>
              <w:top w:val="double" w:sz="4" w:space="0" w:color="auto"/>
            </w:tcBorders>
            <w:vAlign w:val="center"/>
          </w:tcPr>
          <w:p>
            <w:pPr>
              <w:spacing w:line="400" w:lineRule="exact"/>
              <w:jc w:val="center"/>
              <w:rPr>
                <w:color w:val="auto"/>
                <w:sz w:val="24"/>
              </w:rPr>
            </w:pPr>
          </w:p>
        </w:tc>
        <w:tc>
          <w:tcPr>
            <w:tcW w:w="1442" w:type="dxa"/>
            <w:tcBorders>
              <w:top w:val="double" w:sz="4" w:space="0" w:color="auto"/>
            </w:tcBorders>
            <w:vAlign w:val="center"/>
          </w:tcPr>
          <w:p>
            <w:pPr>
              <w:spacing w:line="400" w:lineRule="exact"/>
              <w:jc w:val="center"/>
              <w:rPr>
                <w:color w:val="auto"/>
                <w:sz w:val="24"/>
              </w:rPr>
            </w:pPr>
          </w:p>
        </w:tc>
        <w:tc>
          <w:tcPr>
            <w:tcW w:w="2176" w:type="dxa"/>
            <w:tcBorders>
              <w:top w:val="double" w:sz="4" w:space="0" w:color="auto"/>
            </w:tcBorders>
            <w:vAlign w:val="center"/>
          </w:tcPr>
          <w:p>
            <w:pPr>
              <w:spacing w:line="400" w:lineRule="exact"/>
              <w:jc w:val="center"/>
              <w:rPr>
                <w:color w:val="auto"/>
                <w:sz w:val="24"/>
              </w:rPr>
            </w:pPr>
          </w:p>
        </w:tc>
        <w:tc>
          <w:tcPr>
            <w:tcW w:w="2456" w:type="dxa"/>
            <w:tcBorders>
              <w:top w:val="double" w:sz="4" w:space="0" w:color="auto"/>
            </w:tcBorders>
            <w:vAlign w:val="center"/>
          </w:tcPr>
          <w:p>
            <w:pPr>
              <w:spacing w:line="400" w:lineRule="exact"/>
              <w:jc w:val="center"/>
              <w:rPr>
                <w:color w:val="auto"/>
                <w:sz w:val="24"/>
              </w:rPr>
            </w:pPr>
          </w:p>
        </w:tc>
      </w:tr>
      <w:tr>
        <w:tblPrEx>
          <w:tblW w:w="9872" w:type="dxa"/>
          <w:tblInd w:w="0" w:type="dxa"/>
          <w:tblLayout w:type="fixed"/>
          <w:tblCellMar>
            <w:top w:w="0" w:type="dxa"/>
            <w:left w:w="108" w:type="dxa"/>
            <w:bottom w:w="0" w:type="dxa"/>
            <w:right w:w="108" w:type="dxa"/>
          </w:tblCellMar>
        </w:tblPrEx>
        <w:trPr>
          <w:trHeight w:val="382"/>
        </w:trPr>
        <w:tc>
          <w:tcPr>
            <w:tcW w:w="680" w:type="dxa"/>
            <w:vAlign w:val="center"/>
          </w:tcPr>
          <w:p>
            <w:pPr>
              <w:spacing w:line="400" w:lineRule="exact"/>
              <w:jc w:val="center"/>
              <w:rPr>
                <w:color w:val="auto"/>
                <w:sz w:val="24"/>
              </w:rPr>
            </w:pPr>
          </w:p>
        </w:tc>
        <w:tc>
          <w:tcPr>
            <w:tcW w:w="1460" w:type="dxa"/>
            <w:vAlign w:val="center"/>
          </w:tcPr>
          <w:p>
            <w:pPr>
              <w:spacing w:line="400" w:lineRule="exact"/>
              <w:jc w:val="center"/>
              <w:rPr>
                <w:color w:val="auto"/>
                <w:sz w:val="24"/>
              </w:rPr>
            </w:pPr>
          </w:p>
        </w:tc>
        <w:tc>
          <w:tcPr>
            <w:tcW w:w="1658" w:type="dxa"/>
            <w:vAlign w:val="center"/>
          </w:tcPr>
          <w:p>
            <w:pPr>
              <w:spacing w:line="400" w:lineRule="exact"/>
              <w:jc w:val="center"/>
              <w:rPr>
                <w:color w:val="auto"/>
                <w:sz w:val="24"/>
              </w:rPr>
            </w:pPr>
          </w:p>
        </w:tc>
        <w:tc>
          <w:tcPr>
            <w:tcW w:w="1442" w:type="dxa"/>
            <w:vAlign w:val="center"/>
          </w:tcPr>
          <w:p>
            <w:pPr>
              <w:spacing w:line="400" w:lineRule="exact"/>
              <w:jc w:val="center"/>
              <w:rPr>
                <w:color w:val="auto"/>
                <w:sz w:val="24"/>
              </w:rPr>
            </w:pPr>
          </w:p>
        </w:tc>
        <w:tc>
          <w:tcPr>
            <w:tcW w:w="2176" w:type="dxa"/>
            <w:vAlign w:val="center"/>
          </w:tcPr>
          <w:p>
            <w:pPr>
              <w:spacing w:line="400" w:lineRule="exact"/>
              <w:jc w:val="center"/>
              <w:rPr>
                <w:color w:val="auto"/>
                <w:sz w:val="24"/>
              </w:rPr>
            </w:pPr>
          </w:p>
        </w:tc>
        <w:tc>
          <w:tcPr>
            <w:tcW w:w="2456" w:type="dxa"/>
            <w:vAlign w:val="center"/>
          </w:tcPr>
          <w:p>
            <w:pPr>
              <w:spacing w:line="400" w:lineRule="exact"/>
              <w:jc w:val="center"/>
              <w:rPr>
                <w:color w:val="auto"/>
                <w:sz w:val="24"/>
              </w:rPr>
            </w:pPr>
          </w:p>
        </w:tc>
      </w:tr>
      <w:tr>
        <w:tblPrEx>
          <w:tblW w:w="9872" w:type="dxa"/>
          <w:tblInd w:w="0" w:type="dxa"/>
          <w:tblLayout w:type="fixed"/>
          <w:tblCellMar>
            <w:top w:w="0" w:type="dxa"/>
            <w:left w:w="108" w:type="dxa"/>
            <w:bottom w:w="0" w:type="dxa"/>
            <w:right w:w="108" w:type="dxa"/>
          </w:tblCellMar>
        </w:tblPrEx>
        <w:trPr>
          <w:trHeight w:val="399"/>
        </w:trPr>
        <w:tc>
          <w:tcPr>
            <w:tcW w:w="680" w:type="dxa"/>
            <w:vAlign w:val="center"/>
          </w:tcPr>
          <w:p>
            <w:pPr>
              <w:spacing w:line="400" w:lineRule="exact"/>
              <w:jc w:val="center"/>
              <w:rPr>
                <w:sz w:val="24"/>
              </w:rPr>
            </w:pPr>
          </w:p>
        </w:tc>
        <w:tc>
          <w:tcPr>
            <w:tcW w:w="1460" w:type="dxa"/>
            <w:vAlign w:val="center"/>
          </w:tcPr>
          <w:p>
            <w:pPr>
              <w:spacing w:line="400" w:lineRule="exact"/>
              <w:jc w:val="center"/>
              <w:rPr>
                <w:sz w:val="24"/>
              </w:rPr>
            </w:pPr>
          </w:p>
        </w:tc>
        <w:tc>
          <w:tcPr>
            <w:tcW w:w="1658" w:type="dxa"/>
            <w:vAlign w:val="center"/>
          </w:tcPr>
          <w:p>
            <w:pPr>
              <w:spacing w:line="400" w:lineRule="exact"/>
              <w:jc w:val="center"/>
              <w:rPr>
                <w:sz w:val="24"/>
              </w:rPr>
            </w:pPr>
          </w:p>
        </w:tc>
        <w:tc>
          <w:tcPr>
            <w:tcW w:w="1442" w:type="dxa"/>
            <w:vAlign w:val="center"/>
          </w:tcPr>
          <w:p>
            <w:pPr>
              <w:spacing w:line="400" w:lineRule="exact"/>
              <w:jc w:val="center"/>
              <w:rPr>
                <w:sz w:val="24"/>
              </w:rPr>
            </w:pPr>
          </w:p>
        </w:tc>
        <w:tc>
          <w:tcPr>
            <w:tcW w:w="2176" w:type="dxa"/>
            <w:vAlign w:val="center"/>
          </w:tcPr>
          <w:p>
            <w:pPr>
              <w:spacing w:line="400" w:lineRule="exact"/>
              <w:jc w:val="center"/>
              <w:rPr>
                <w:sz w:val="24"/>
              </w:rPr>
            </w:pPr>
          </w:p>
        </w:tc>
        <w:tc>
          <w:tcPr>
            <w:tcW w:w="2456" w:type="dxa"/>
            <w:vAlign w:val="center"/>
          </w:tcPr>
          <w:p>
            <w:pPr>
              <w:spacing w:line="400" w:lineRule="exact"/>
              <w:jc w:val="center"/>
              <w:rPr>
                <w:sz w:val="24"/>
              </w:rPr>
            </w:pPr>
          </w:p>
        </w:tc>
      </w:tr>
      <w:tr>
        <w:tblPrEx>
          <w:tblW w:w="9872" w:type="dxa"/>
          <w:tblInd w:w="0" w:type="dxa"/>
          <w:tblLayout w:type="fixed"/>
          <w:tblCellMar>
            <w:top w:w="0" w:type="dxa"/>
            <w:left w:w="108" w:type="dxa"/>
            <w:bottom w:w="0" w:type="dxa"/>
            <w:right w:w="108" w:type="dxa"/>
          </w:tblCellMar>
        </w:tblPrEx>
        <w:trPr>
          <w:trHeight w:val="382"/>
        </w:trPr>
        <w:tc>
          <w:tcPr>
            <w:tcW w:w="680" w:type="dxa"/>
            <w:vAlign w:val="center"/>
          </w:tcPr>
          <w:p>
            <w:pPr>
              <w:spacing w:line="400" w:lineRule="exact"/>
              <w:jc w:val="center"/>
              <w:rPr>
                <w:sz w:val="24"/>
              </w:rPr>
            </w:pPr>
          </w:p>
        </w:tc>
        <w:tc>
          <w:tcPr>
            <w:tcW w:w="1460" w:type="dxa"/>
            <w:vAlign w:val="center"/>
          </w:tcPr>
          <w:p>
            <w:pPr>
              <w:spacing w:line="400" w:lineRule="exact"/>
              <w:jc w:val="center"/>
              <w:rPr>
                <w:sz w:val="24"/>
              </w:rPr>
            </w:pPr>
          </w:p>
        </w:tc>
        <w:tc>
          <w:tcPr>
            <w:tcW w:w="1658" w:type="dxa"/>
            <w:vAlign w:val="center"/>
          </w:tcPr>
          <w:p>
            <w:pPr>
              <w:spacing w:line="400" w:lineRule="exact"/>
              <w:jc w:val="center"/>
              <w:rPr>
                <w:sz w:val="24"/>
              </w:rPr>
            </w:pPr>
          </w:p>
        </w:tc>
        <w:tc>
          <w:tcPr>
            <w:tcW w:w="1442" w:type="dxa"/>
            <w:vAlign w:val="center"/>
          </w:tcPr>
          <w:p>
            <w:pPr>
              <w:spacing w:line="400" w:lineRule="exact"/>
              <w:jc w:val="center"/>
              <w:rPr>
                <w:sz w:val="24"/>
              </w:rPr>
            </w:pPr>
          </w:p>
        </w:tc>
        <w:tc>
          <w:tcPr>
            <w:tcW w:w="2176" w:type="dxa"/>
            <w:vAlign w:val="center"/>
          </w:tcPr>
          <w:p>
            <w:pPr>
              <w:spacing w:line="400" w:lineRule="exact"/>
              <w:jc w:val="center"/>
              <w:rPr>
                <w:sz w:val="24"/>
              </w:rPr>
            </w:pPr>
          </w:p>
        </w:tc>
        <w:tc>
          <w:tcPr>
            <w:tcW w:w="2456" w:type="dxa"/>
            <w:vAlign w:val="center"/>
          </w:tcPr>
          <w:p>
            <w:pPr>
              <w:spacing w:line="400" w:lineRule="exact"/>
              <w:jc w:val="center"/>
              <w:rPr>
                <w:sz w:val="24"/>
              </w:rPr>
            </w:pPr>
          </w:p>
        </w:tc>
      </w:tr>
      <w:tr>
        <w:tblPrEx>
          <w:tblW w:w="9872" w:type="dxa"/>
          <w:tblInd w:w="0" w:type="dxa"/>
          <w:tblLayout w:type="fixed"/>
          <w:tblCellMar>
            <w:top w:w="0" w:type="dxa"/>
            <w:left w:w="108" w:type="dxa"/>
            <w:bottom w:w="0" w:type="dxa"/>
            <w:right w:w="108" w:type="dxa"/>
          </w:tblCellMar>
        </w:tblPrEx>
        <w:trPr>
          <w:trHeight w:val="416"/>
        </w:trPr>
        <w:tc>
          <w:tcPr>
            <w:tcW w:w="680" w:type="dxa"/>
            <w:vAlign w:val="center"/>
          </w:tcPr>
          <w:p>
            <w:pPr>
              <w:spacing w:line="400" w:lineRule="exact"/>
              <w:jc w:val="center"/>
              <w:rPr>
                <w:sz w:val="24"/>
              </w:rPr>
            </w:pPr>
          </w:p>
        </w:tc>
        <w:tc>
          <w:tcPr>
            <w:tcW w:w="1460" w:type="dxa"/>
            <w:vAlign w:val="center"/>
          </w:tcPr>
          <w:p>
            <w:pPr>
              <w:spacing w:line="400" w:lineRule="exact"/>
              <w:jc w:val="center"/>
              <w:rPr>
                <w:sz w:val="24"/>
              </w:rPr>
            </w:pPr>
          </w:p>
        </w:tc>
        <w:tc>
          <w:tcPr>
            <w:tcW w:w="1658" w:type="dxa"/>
            <w:vAlign w:val="center"/>
          </w:tcPr>
          <w:p>
            <w:pPr>
              <w:spacing w:line="400" w:lineRule="exact"/>
              <w:jc w:val="center"/>
              <w:rPr>
                <w:sz w:val="24"/>
              </w:rPr>
            </w:pPr>
          </w:p>
        </w:tc>
        <w:tc>
          <w:tcPr>
            <w:tcW w:w="1442" w:type="dxa"/>
            <w:vAlign w:val="center"/>
          </w:tcPr>
          <w:p>
            <w:pPr>
              <w:spacing w:line="400" w:lineRule="exact"/>
              <w:jc w:val="center"/>
              <w:rPr>
                <w:sz w:val="24"/>
              </w:rPr>
            </w:pPr>
          </w:p>
        </w:tc>
        <w:tc>
          <w:tcPr>
            <w:tcW w:w="2176" w:type="dxa"/>
            <w:vAlign w:val="center"/>
          </w:tcPr>
          <w:p>
            <w:pPr>
              <w:spacing w:line="400" w:lineRule="exact"/>
              <w:jc w:val="center"/>
              <w:rPr>
                <w:sz w:val="24"/>
              </w:rPr>
            </w:pPr>
          </w:p>
        </w:tc>
        <w:tc>
          <w:tcPr>
            <w:tcW w:w="2456" w:type="dxa"/>
            <w:vAlign w:val="center"/>
          </w:tcPr>
          <w:p>
            <w:pPr>
              <w:spacing w:line="400" w:lineRule="exact"/>
              <w:jc w:val="center"/>
              <w:rPr>
                <w:sz w:val="24"/>
              </w:rPr>
            </w:pPr>
          </w:p>
        </w:tc>
      </w:tr>
    </w:tbl>
    <w:p>
      <w:pPr>
        <w:spacing w:line="440" w:lineRule="exact"/>
        <w:rPr>
          <w:rFonts w:ascii="宋体" w:hAnsi="宋体"/>
          <w:sz w:val="24"/>
        </w:rPr>
      </w:pPr>
      <w:r>
        <w:rPr>
          <w:rFonts w:hint="eastAsia"/>
          <w:bCs/>
          <w:sz w:val="24"/>
        </w:rPr>
        <w:t>备注：</w:t>
      </w:r>
      <w:r>
        <w:rPr>
          <w:rFonts w:ascii="宋体" w:hAnsi="宋体" w:hint="eastAsia"/>
          <w:sz w:val="24"/>
        </w:rPr>
        <w:t>根据评分表的要求提交相应资料。</w:t>
      </w:r>
    </w:p>
    <w:p>
      <w:pPr>
        <w:adjustRightInd w:val="0"/>
        <w:snapToGrid w:val="0"/>
        <w:spacing w:line="360" w:lineRule="auto"/>
        <w:ind w:left="732" w:hanging="640" w:hangingChars="305"/>
        <w:rPr>
          <w:rFonts w:ascii="宋体" w:hAnsi="宋体"/>
          <w:sz w:val="24"/>
        </w:rPr>
      </w:pPr>
    </w:p>
    <w:p>
      <w:pPr>
        <w:widowControl/>
        <w:jc w:val="left"/>
        <w:rPr>
          <w:rFonts w:hAnsi="宋体"/>
          <w:bCs/>
          <w:sz w:val="24"/>
        </w:rPr>
      </w:pPr>
      <w:r>
        <w:rPr>
          <w:rFonts w:hAnsi="宋体"/>
          <w:bCs/>
          <w:sz w:val="24"/>
        </w:rPr>
        <w:br w:type="page"/>
      </w:r>
    </w:p>
    <w:p>
      <w:pPr>
        <w:pStyle w:val="Heading2"/>
        <w:numPr>
          <w:ilvl w:val="0"/>
          <w:numId w:val="72"/>
        </w:numPr>
        <w:spacing w:line="240" w:lineRule="auto"/>
        <w:jc w:val="center"/>
        <w:rPr>
          <w:b w:val="0"/>
          <w:color w:val="auto"/>
        </w:rPr>
      </w:pPr>
      <w:bookmarkStart w:id="220" w:name="_Toc11691"/>
      <w:bookmarkStart w:id="221" w:name="_Toc256000037"/>
      <w:r>
        <w:rPr>
          <w:rFonts w:hint="eastAsia"/>
          <w:b w:val="0"/>
          <w:color w:val="auto"/>
        </w:rPr>
        <w:t>投标人获奖情况</w:t>
      </w:r>
      <w:bookmarkEnd w:id="221"/>
      <w:bookmarkEnd w:id="220"/>
    </w:p>
    <w:p>
      <w:pPr>
        <w:rPr>
          <w:b w:val="0"/>
          <w:color w:val="auto"/>
        </w:rPr>
      </w:pPr>
      <w:r>
        <w:rPr>
          <w:rFonts w:hint="eastAsia"/>
          <w:b w:val="0"/>
          <w:color w:val="auto"/>
        </w:rPr>
        <w:br w:type="page"/>
      </w:r>
    </w:p>
    <w:p>
      <w:pPr>
        <w:pStyle w:val="Heading2"/>
        <w:numPr>
          <w:ilvl w:val="0"/>
          <w:numId w:val="72"/>
        </w:numPr>
        <w:spacing w:line="240" w:lineRule="auto"/>
        <w:jc w:val="center"/>
        <w:rPr>
          <w:b w:val="0"/>
          <w:color w:val="auto"/>
        </w:rPr>
      </w:pPr>
      <w:bookmarkStart w:id="222" w:name="_Toc50691042"/>
      <w:bookmarkStart w:id="223" w:name="_Toc435515311"/>
      <w:bookmarkStart w:id="224" w:name="_Toc52165084"/>
      <w:bookmarkStart w:id="225" w:name="_Toc275865618"/>
      <w:bookmarkStart w:id="226" w:name="_Toc50737300"/>
      <w:bookmarkStart w:id="227" w:name="_Toc50737332"/>
      <w:bookmarkStart w:id="228" w:name="_Toc30664888"/>
      <w:bookmarkStart w:id="229" w:name="_Toc14131"/>
      <w:bookmarkStart w:id="230" w:name="_Toc50736480"/>
      <w:bookmarkStart w:id="231" w:name="_Toc19597"/>
      <w:bookmarkStart w:id="232" w:name="_Toc435514871"/>
      <w:bookmarkStart w:id="233" w:name="_Toc256000038"/>
      <w:r>
        <w:rPr>
          <w:rFonts w:hint="eastAsia"/>
          <w:b w:val="0"/>
          <w:color w:val="auto"/>
        </w:rPr>
        <w:t>项目团队人员一览表</w:t>
      </w:r>
      <w:bookmarkEnd w:id="233"/>
      <w:bookmarkEnd w:id="222"/>
      <w:bookmarkEnd w:id="223"/>
      <w:bookmarkEnd w:id="224"/>
      <w:bookmarkEnd w:id="225"/>
      <w:bookmarkEnd w:id="226"/>
      <w:bookmarkEnd w:id="227"/>
      <w:bookmarkEnd w:id="228"/>
      <w:bookmarkEnd w:id="229"/>
      <w:bookmarkEnd w:id="230"/>
      <w:bookmarkEnd w:id="231"/>
      <w:bookmarkEnd w:id="232"/>
    </w:p>
    <w:p>
      <w:pPr>
        <w:widowControl/>
        <w:wordWrap w:val="0"/>
        <w:spacing w:line="360" w:lineRule="auto"/>
        <w:jc w:val="left"/>
        <w:rPr>
          <w:rFonts w:ascii="宋体" w:hAnsi="宋体"/>
          <w:color w:val="auto"/>
          <w:sz w:val="24"/>
        </w:rPr>
      </w:pPr>
      <w:r>
        <w:rPr>
          <w:rFonts w:ascii="宋体" w:hAnsi="宋体" w:hint="eastAsia"/>
          <w:color w:val="auto"/>
          <w:sz w:val="24"/>
        </w:rPr>
        <w:t>投标人名称：                  项目编号：</w:t>
      </w:r>
      <w:r>
        <w:rPr>
          <w:rFonts w:ascii="宋体" w:hAnsi="宋体" w:hint="eastAsia"/>
          <w:color w:val="auto"/>
          <w:sz w:val="24"/>
          <w:lang w:eastAsia="zh-CN"/>
        </w:rPr>
        <w:t>SZDL2022002374（CLF0122SZ17ZC77）</w:t>
      </w:r>
      <w:r>
        <w:rPr>
          <w:rFonts w:ascii="ˎ̥" w:hAnsi="ˎ̥" w:cs="宋体"/>
          <w:color w:val="auto"/>
          <w:kern w:val="0"/>
          <w:sz w:val="24"/>
        </w:rPr>
        <w:t> </w:t>
      </w:r>
    </w:p>
    <w:tbl>
      <w:tblPr>
        <w:tblStyle w:val="TableNormal"/>
        <w:tblW w:w="926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0" w:type="dxa"/>
          <w:left w:w="108" w:type="dxa"/>
          <w:bottom w:w="0" w:type="dxa"/>
          <w:right w:w="108" w:type="dxa"/>
        </w:tblCellMar>
      </w:tblPr>
      <w:tblGrid>
        <w:gridCol w:w="572"/>
        <w:gridCol w:w="1034"/>
        <w:gridCol w:w="823"/>
        <w:gridCol w:w="822"/>
        <w:gridCol w:w="822"/>
        <w:gridCol w:w="1051"/>
        <w:gridCol w:w="1217"/>
        <w:gridCol w:w="1242"/>
        <w:gridCol w:w="1681"/>
      </w:tblGrid>
      <w:tr>
        <w:tblPrEx>
          <w:tblW w:w="926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0" w:type="dxa"/>
            <w:left w:w="108" w:type="dxa"/>
            <w:bottom w:w="0" w:type="dxa"/>
            <w:right w:w="108" w:type="dxa"/>
          </w:tblCellMar>
        </w:tblPrEx>
        <w:trPr>
          <w:trHeight w:val="457"/>
          <w:jc w:val="center"/>
        </w:trPr>
        <w:tc>
          <w:tcPr>
            <w:tcW w:w="572" w:type="dxa"/>
            <w:tcBorders>
              <w:top w:val="single" w:sz="12" w:space="0" w:color="auto"/>
              <w:bottom w:val="double" w:sz="4" w:space="0" w:color="auto"/>
            </w:tcBorders>
            <w:shd w:val="clear" w:color="auto" w:fill="EEECE1"/>
            <w:vAlign w:val="center"/>
          </w:tcPr>
          <w:p>
            <w:pPr>
              <w:adjustRightInd w:val="0"/>
              <w:snapToGrid w:val="0"/>
              <w:ind w:left="-92" w:right="-80" w:leftChars="-44" w:rightChars="-38"/>
              <w:jc w:val="center"/>
              <w:rPr>
                <w:rFonts w:ascii="宋体" w:hAnsi="宋体"/>
                <w:color w:val="auto"/>
                <w:sz w:val="24"/>
              </w:rPr>
            </w:pPr>
            <w:r>
              <w:rPr>
                <w:rFonts w:ascii="宋体" w:hAnsi="宋体" w:hint="eastAsia"/>
                <w:color w:val="auto"/>
                <w:sz w:val="24"/>
              </w:rPr>
              <w:t>序号</w:t>
            </w:r>
          </w:p>
        </w:tc>
        <w:tc>
          <w:tcPr>
            <w:tcW w:w="1034" w:type="dxa"/>
            <w:tcBorders>
              <w:top w:val="single" w:sz="12" w:space="0" w:color="auto"/>
              <w:bottom w:val="double" w:sz="4" w:space="0" w:color="auto"/>
            </w:tcBorders>
            <w:shd w:val="clear" w:color="auto" w:fill="EEECE1"/>
            <w:vAlign w:val="center"/>
          </w:tcPr>
          <w:p>
            <w:pPr>
              <w:pStyle w:val="a0"/>
              <w:keepNext w:val="0"/>
              <w:snapToGrid w:val="0"/>
              <w:spacing w:before="0" w:after="0" w:line="240" w:lineRule="auto"/>
              <w:textAlignment w:val="auto"/>
              <w:rPr>
                <w:rFonts w:ascii="宋体" w:hAnsi="宋体"/>
                <w:snapToGrid/>
                <w:color w:val="auto"/>
                <w:spacing w:val="0"/>
                <w:kern w:val="2"/>
                <w:szCs w:val="24"/>
              </w:rPr>
            </w:pPr>
            <w:r>
              <w:rPr>
                <w:rFonts w:ascii="宋体" w:hAnsi="宋体" w:hint="eastAsia"/>
                <w:snapToGrid/>
                <w:color w:val="auto"/>
                <w:spacing w:val="0"/>
                <w:kern w:val="2"/>
                <w:szCs w:val="24"/>
              </w:rPr>
              <w:t>姓名</w:t>
            </w:r>
          </w:p>
        </w:tc>
        <w:tc>
          <w:tcPr>
            <w:tcW w:w="823" w:type="dxa"/>
            <w:tcBorders>
              <w:top w:val="single" w:sz="12" w:space="0" w:color="auto"/>
              <w:bottom w:val="double" w:sz="4" w:space="0" w:color="auto"/>
            </w:tcBorders>
            <w:shd w:val="clear" w:color="auto" w:fill="EEECE1"/>
            <w:vAlign w:val="center"/>
          </w:tcPr>
          <w:p>
            <w:pPr>
              <w:adjustRightInd w:val="0"/>
              <w:snapToGrid w:val="0"/>
              <w:jc w:val="center"/>
              <w:rPr>
                <w:rFonts w:ascii="宋体" w:hAnsi="宋体"/>
                <w:color w:val="auto"/>
                <w:sz w:val="24"/>
              </w:rPr>
            </w:pPr>
            <w:r>
              <w:rPr>
                <w:rFonts w:ascii="宋体" w:hAnsi="宋体" w:hint="eastAsia"/>
                <w:color w:val="auto"/>
                <w:sz w:val="24"/>
              </w:rPr>
              <w:t>性别</w:t>
            </w:r>
          </w:p>
        </w:tc>
        <w:tc>
          <w:tcPr>
            <w:tcW w:w="822" w:type="dxa"/>
            <w:tcBorders>
              <w:top w:val="single" w:sz="12" w:space="0" w:color="auto"/>
              <w:bottom w:val="double" w:sz="4" w:space="0" w:color="auto"/>
            </w:tcBorders>
            <w:shd w:val="clear" w:color="auto" w:fill="EEECE1"/>
            <w:vAlign w:val="center"/>
          </w:tcPr>
          <w:p>
            <w:pPr>
              <w:adjustRightInd w:val="0"/>
              <w:snapToGrid w:val="0"/>
              <w:jc w:val="center"/>
              <w:rPr>
                <w:rFonts w:ascii="宋体" w:hAnsi="宋体"/>
                <w:color w:val="auto"/>
                <w:sz w:val="24"/>
              </w:rPr>
            </w:pPr>
            <w:r>
              <w:rPr>
                <w:rFonts w:ascii="宋体" w:hAnsi="宋体" w:hint="eastAsia"/>
                <w:color w:val="auto"/>
                <w:sz w:val="24"/>
              </w:rPr>
              <w:t>年龄</w:t>
            </w:r>
          </w:p>
        </w:tc>
        <w:tc>
          <w:tcPr>
            <w:tcW w:w="822" w:type="dxa"/>
            <w:tcBorders>
              <w:top w:val="single" w:sz="12" w:space="0" w:color="auto"/>
              <w:bottom w:val="double" w:sz="4" w:space="0" w:color="auto"/>
            </w:tcBorders>
            <w:shd w:val="clear" w:color="auto" w:fill="EEECE1"/>
            <w:vAlign w:val="center"/>
          </w:tcPr>
          <w:p>
            <w:pPr>
              <w:adjustRightInd w:val="0"/>
              <w:snapToGrid w:val="0"/>
              <w:jc w:val="center"/>
              <w:rPr>
                <w:rFonts w:ascii="宋体" w:hAnsi="宋体"/>
                <w:color w:val="auto"/>
                <w:sz w:val="24"/>
              </w:rPr>
            </w:pPr>
            <w:r>
              <w:rPr>
                <w:rFonts w:ascii="宋体" w:hAnsi="宋体" w:hint="eastAsia"/>
                <w:color w:val="auto"/>
                <w:sz w:val="24"/>
              </w:rPr>
              <w:t>学历</w:t>
            </w:r>
          </w:p>
        </w:tc>
        <w:tc>
          <w:tcPr>
            <w:tcW w:w="1051" w:type="dxa"/>
            <w:tcBorders>
              <w:top w:val="single" w:sz="12" w:space="0" w:color="auto"/>
              <w:bottom w:val="double" w:sz="4" w:space="0" w:color="auto"/>
            </w:tcBorders>
            <w:shd w:val="clear" w:color="auto" w:fill="EEECE1"/>
            <w:vAlign w:val="center"/>
          </w:tcPr>
          <w:p>
            <w:pPr>
              <w:adjustRightInd w:val="0"/>
              <w:snapToGrid w:val="0"/>
              <w:jc w:val="center"/>
              <w:rPr>
                <w:rFonts w:ascii="宋体" w:hAnsi="宋体"/>
                <w:color w:val="auto"/>
                <w:sz w:val="24"/>
              </w:rPr>
            </w:pPr>
            <w:r>
              <w:rPr>
                <w:rFonts w:ascii="宋体" w:hAnsi="宋体" w:hint="eastAsia"/>
                <w:color w:val="auto"/>
                <w:sz w:val="24"/>
              </w:rPr>
              <w:t>职称</w:t>
            </w:r>
          </w:p>
        </w:tc>
        <w:tc>
          <w:tcPr>
            <w:tcW w:w="1217" w:type="dxa"/>
            <w:tcBorders>
              <w:top w:val="single" w:sz="12" w:space="0" w:color="auto"/>
              <w:bottom w:val="double" w:sz="4" w:space="0" w:color="auto"/>
            </w:tcBorders>
            <w:shd w:val="clear" w:color="auto" w:fill="EEECE1"/>
            <w:vAlign w:val="center"/>
          </w:tcPr>
          <w:p>
            <w:pPr>
              <w:adjustRightInd w:val="0"/>
              <w:snapToGrid w:val="0"/>
              <w:jc w:val="center"/>
              <w:rPr>
                <w:rFonts w:ascii="宋体" w:hAnsi="宋体"/>
                <w:color w:val="auto"/>
                <w:sz w:val="24"/>
              </w:rPr>
            </w:pPr>
            <w:r>
              <w:rPr>
                <w:rFonts w:ascii="宋体" w:hAnsi="宋体" w:hint="eastAsia"/>
                <w:color w:val="auto"/>
                <w:sz w:val="24"/>
              </w:rPr>
              <w:t>专业</w:t>
            </w:r>
          </w:p>
        </w:tc>
        <w:tc>
          <w:tcPr>
            <w:tcW w:w="1242" w:type="dxa"/>
            <w:tcBorders>
              <w:top w:val="single" w:sz="12" w:space="0" w:color="auto"/>
              <w:bottom w:val="double" w:sz="4" w:space="0" w:color="auto"/>
            </w:tcBorders>
            <w:shd w:val="clear" w:color="auto" w:fill="EEECE1"/>
            <w:vAlign w:val="center"/>
          </w:tcPr>
          <w:p>
            <w:pPr>
              <w:adjustRightInd w:val="0"/>
              <w:snapToGrid w:val="0"/>
              <w:jc w:val="center"/>
              <w:rPr>
                <w:rFonts w:ascii="宋体" w:hAnsi="宋体"/>
                <w:color w:val="auto"/>
                <w:sz w:val="24"/>
              </w:rPr>
            </w:pPr>
            <w:r>
              <w:rPr>
                <w:rFonts w:ascii="宋体" w:hAnsi="宋体" w:hint="eastAsia"/>
                <w:color w:val="auto"/>
                <w:sz w:val="24"/>
              </w:rPr>
              <w:t>经验年限</w:t>
            </w:r>
          </w:p>
        </w:tc>
        <w:tc>
          <w:tcPr>
            <w:tcW w:w="1681" w:type="dxa"/>
            <w:tcBorders>
              <w:top w:val="single" w:sz="12" w:space="0" w:color="auto"/>
              <w:bottom w:val="double" w:sz="4" w:space="0" w:color="auto"/>
            </w:tcBorders>
            <w:shd w:val="clear" w:color="auto" w:fill="EEECE1"/>
            <w:vAlign w:val="center"/>
          </w:tcPr>
          <w:p>
            <w:pPr>
              <w:adjustRightInd w:val="0"/>
              <w:snapToGrid w:val="0"/>
              <w:jc w:val="center"/>
              <w:rPr>
                <w:rFonts w:ascii="宋体" w:hAnsi="宋体"/>
                <w:color w:val="auto"/>
                <w:sz w:val="24"/>
              </w:rPr>
            </w:pPr>
            <w:r>
              <w:rPr>
                <w:rFonts w:ascii="宋体" w:hAnsi="宋体" w:hint="eastAsia"/>
                <w:color w:val="auto"/>
                <w:sz w:val="24"/>
              </w:rPr>
              <w:t>拟担任职务或承担工作内容</w:t>
            </w:r>
          </w:p>
        </w:tc>
      </w:tr>
      <w:tr>
        <w:tblPrEx>
          <w:tblW w:w="9264" w:type="dxa"/>
          <w:jc w:val="center"/>
          <w:tblLayout w:type="fixed"/>
          <w:tblCellMar>
            <w:top w:w="0" w:type="dxa"/>
            <w:left w:w="108" w:type="dxa"/>
            <w:bottom w:w="0" w:type="dxa"/>
            <w:right w:w="108" w:type="dxa"/>
          </w:tblCellMar>
        </w:tblPrEx>
        <w:trPr>
          <w:trHeight w:val="549"/>
          <w:jc w:val="center"/>
        </w:trPr>
        <w:tc>
          <w:tcPr>
            <w:tcW w:w="572" w:type="dxa"/>
            <w:tcBorders>
              <w:top w:val="double" w:sz="4" w:space="0" w:color="auto"/>
            </w:tcBorders>
            <w:vAlign w:val="center"/>
          </w:tcPr>
          <w:p>
            <w:pPr>
              <w:spacing w:line="400" w:lineRule="exact"/>
              <w:jc w:val="center"/>
              <w:rPr>
                <w:rFonts w:ascii="宋体" w:hAnsi="宋体"/>
                <w:color w:val="auto"/>
                <w:sz w:val="24"/>
              </w:rPr>
            </w:pPr>
          </w:p>
        </w:tc>
        <w:tc>
          <w:tcPr>
            <w:tcW w:w="1034" w:type="dxa"/>
            <w:tcBorders>
              <w:top w:val="double" w:sz="4" w:space="0" w:color="auto"/>
            </w:tcBorders>
            <w:vAlign w:val="center"/>
          </w:tcPr>
          <w:p>
            <w:pPr>
              <w:spacing w:line="400" w:lineRule="exact"/>
              <w:jc w:val="center"/>
              <w:rPr>
                <w:rFonts w:ascii="宋体" w:hAnsi="宋体"/>
                <w:color w:val="auto"/>
                <w:sz w:val="24"/>
              </w:rPr>
            </w:pPr>
          </w:p>
        </w:tc>
        <w:tc>
          <w:tcPr>
            <w:tcW w:w="823" w:type="dxa"/>
            <w:tcBorders>
              <w:top w:val="double" w:sz="4" w:space="0" w:color="auto"/>
            </w:tcBorders>
            <w:vAlign w:val="center"/>
          </w:tcPr>
          <w:p>
            <w:pPr>
              <w:spacing w:line="400" w:lineRule="exact"/>
              <w:jc w:val="center"/>
              <w:rPr>
                <w:rFonts w:ascii="宋体" w:hAnsi="宋体"/>
                <w:color w:val="auto"/>
                <w:sz w:val="24"/>
              </w:rPr>
            </w:pPr>
          </w:p>
        </w:tc>
        <w:tc>
          <w:tcPr>
            <w:tcW w:w="822" w:type="dxa"/>
            <w:tcBorders>
              <w:top w:val="double" w:sz="4" w:space="0" w:color="auto"/>
            </w:tcBorders>
            <w:vAlign w:val="center"/>
          </w:tcPr>
          <w:p>
            <w:pPr>
              <w:spacing w:line="400" w:lineRule="exact"/>
              <w:jc w:val="center"/>
              <w:rPr>
                <w:rFonts w:ascii="宋体" w:hAnsi="宋体"/>
                <w:color w:val="auto"/>
                <w:sz w:val="24"/>
              </w:rPr>
            </w:pPr>
          </w:p>
        </w:tc>
        <w:tc>
          <w:tcPr>
            <w:tcW w:w="822" w:type="dxa"/>
            <w:tcBorders>
              <w:top w:val="double" w:sz="4" w:space="0" w:color="auto"/>
            </w:tcBorders>
            <w:vAlign w:val="center"/>
          </w:tcPr>
          <w:p>
            <w:pPr>
              <w:spacing w:line="400" w:lineRule="exact"/>
              <w:jc w:val="center"/>
              <w:rPr>
                <w:rFonts w:ascii="宋体" w:hAnsi="宋体"/>
                <w:color w:val="auto"/>
                <w:sz w:val="24"/>
              </w:rPr>
            </w:pPr>
          </w:p>
        </w:tc>
        <w:tc>
          <w:tcPr>
            <w:tcW w:w="1051" w:type="dxa"/>
            <w:tcBorders>
              <w:top w:val="double" w:sz="4" w:space="0" w:color="auto"/>
            </w:tcBorders>
            <w:vAlign w:val="center"/>
          </w:tcPr>
          <w:p>
            <w:pPr>
              <w:spacing w:line="400" w:lineRule="exact"/>
              <w:jc w:val="center"/>
              <w:rPr>
                <w:rFonts w:ascii="宋体" w:hAnsi="宋体"/>
                <w:color w:val="auto"/>
                <w:sz w:val="24"/>
              </w:rPr>
            </w:pPr>
          </w:p>
        </w:tc>
        <w:tc>
          <w:tcPr>
            <w:tcW w:w="1217" w:type="dxa"/>
            <w:tcBorders>
              <w:top w:val="double" w:sz="4" w:space="0" w:color="auto"/>
            </w:tcBorders>
            <w:vAlign w:val="center"/>
          </w:tcPr>
          <w:p>
            <w:pPr>
              <w:spacing w:line="400" w:lineRule="exact"/>
              <w:jc w:val="center"/>
              <w:rPr>
                <w:rFonts w:ascii="宋体" w:hAnsi="宋体"/>
                <w:color w:val="auto"/>
                <w:sz w:val="24"/>
              </w:rPr>
            </w:pPr>
          </w:p>
        </w:tc>
        <w:tc>
          <w:tcPr>
            <w:tcW w:w="1242" w:type="dxa"/>
            <w:tcBorders>
              <w:top w:val="double" w:sz="4" w:space="0" w:color="auto"/>
            </w:tcBorders>
            <w:vAlign w:val="center"/>
          </w:tcPr>
          <w:p>
            <w:pPr>
              <w:spacing w:line="400" w:lineRule="exact"/>
              <w:jc w:val="center"/>
              <w:rPr>
                <w:rFonts w:ascii="宋体" w:hAnsi="宋体"/>
                <w:color w:val="auto"/>
                <w:sz w:val="24"/>
              </w:rPr>
            </w:pPr>
          </w:p>
        </w:tc>
        <w:tc>
          <w:tcPr>
            <w:tcW w:w="1681" w:type="dxa"/>
            <w:tcBorders>
              <w:top w:val="double" w:sz="4" w:space="0" w:color="auto"/>
            </w:tcBorders>
            <w:vAlign w:val="center"/>
          </w:tcPr>
          <w:p>
            <w:pPr>
              <w:spacing w:line="400" w:lineRule="exact"/>
              <w:jc w:val="center"/>
              <w:rPr>
                <w:rFonts w:ascii="宋体" w:hAnsi="宋体"/>
                <w:color w:val="auto"/>
                <w:sz w:val="24"/>
              </w:rPr>
            </w:pPr>
          </w:p>
        </w:tc>
      </w:tr>
      <w:tr>
        <w:tblPrEx>
          <w:tblW w:w="9264" w:type="dxa"/>
          <w:jc w:val="center"/>
          <w:tblLayout w:type="fixed"/>
          <w:tblCellMar>
            <w:top w:w="0" w:type="dxa"/>
            <w:left w:w="108" w:type="dxa"/>
            <w:bottom w:w="0" w:type="dxa"/>
            <w:right w:w="108" w:type="dxa"/>
          </w:tblCellMar>
        </w:tblPrEx>
        <w:trPr>
          <w:trHeight w:val="549"/>
          <w:jc w:val="center"/>
        </w:trPr>
        <w:tc>
          <w:tcPr>
            <w:tcW w:w="572" w:type="dxa"/>
            <w:vAlign w:val="center"/>
          </w:tcPr>
          <w:p>
            <w:pPr>
              <w:spacing w:line="400" w:lineRule="exact"/>
              <w:jc w:val="center"/>
              <w:rPr>
                <w:rFonts w:ascii="宋体" w:hAnsi="宋体"/>
                <w:color w:val="auto"/>
                <w:sz w:val="24"/>
              </w:rPr>
            </w:pPr>
          </w:p>
        </w:tc>
        <w:tc>
          <w:tcPr>
            <w:tcW w:w="1034" w:type="dxa"/>
            <w:vAlign w:val="center"/>
          </w:tcPr>
          <w:p>
            <w:pPr>
              <w:spacing w:line="400" w:lineRule="exact"/>
              <w:jc w:val="center"/>
              <w:rPr>
                <w:rFonts w:ascii="宋体" w:hAnsi="宋体"/>
                <w:color w:val="auto"/>
                <w:sz w:val="24"/>
              </w:rPr>
            </w:pPr>
          </w:p>
        </w:tc>
        <w:tc>
          <w:tcPr>
            <w:tcW w:w="823" w:type="dxa"/>
            <w:vAlign w:val="center"/>
          </w:tcPr>
          <w:p>
            <w:pPr>
              <w:spacing w:line="400" w:lineRule="exact"/>
              <w:jc w:val="center"/>
              <w:rPr>
                <w:rFonts w:ascii="宋体" w:hAnsi="宋体"/>
                <w:color w:val="auto"/>
                <w:sz w:val="24"/>
              </w:rPr>
            </w:pPr>
          </w:p>
        </w:tc>
        <w:tc>
          <w:tcPr>
            <w:tcW w:w="822" w:type="dxa"/>
            <w:vAlign w:val="center"/>
          </w:tcPr>
          <w:p>
            <w:pPr>
              <w:spacing w:line="400" w:lineRule="exact"/>
              <w:jc w:val="center"/>
              <w:rPr>
                <w:rFonts w:ascii="宋体" w:hAnsi="宋体"/>
                <w:color w:val="auto"/>
                <w:sz w:val="24"/>
              </w:rPr>
            </w:pPr>
          </w:p>
        </w:tc>
        <w:tc>
          <w:tcPr>
            <w:tcW w:w="822" w:type="dxa"/>
            <w:vAlign w:val="center"/>
          </w:tcPr>
          <w:p>
            <w:pPr>
              <w:spacing w:line="400" w:lineRule="exact"/>
              <w:jc w:val="center"/>
              <w:rPr>
                <w:rFonts w:ascii="宋体" w:hAnsi="宋体"/>
                <w:color w:val="auto"/>
                <w:sz w:val="24"/>
              </w:rPr>
            </w:pPr>
          </w:p>
        </w:tc>
        <w:tc>
          <w:tcPr>
            <w:tcW w:w="1051" w:type="dxa"/>
            <w:vAlign w:val="center"/>
          </w:tcPr>
          <w:p>
            <w:pPr>
              <w:spacing w:line="400" w:lineRule="exact"/>
              <w:jc w:val="center"/>
              <w:rPr>
                <w:rFonts w:ascii="宋体" w:hAnsi="宋体"/>
                <w:color w:val="auto"/>
                <w:sz w:val="24"/>
              </w:rPr>
            </w:pPr>
          </w:p>
        </w:tc>
        <w:tc>
          <w:tcPr>
            <w:tcW w:w="1217" w:type="dxa"/>
            <w:vAlign w:val="center"/>
          </w:tcPr>
          <w:p>
            <w:pPr>
              <w:spacing w:line="400" w:lineRule="exact"/>
              <w:jc w:val="center"/>
              <w:rPr>
                <w:rFonts w:ascii="宋体" w:hAnsi="宋体"/>
                <w:color w:val="auto"/>
                <w:sz w:val="24"/>
              </w:rPr>
            </w:pPr>
          </w:p>
        </w:tc>
        <w:tc>
          <w:tcPr>
            <w:tcW w:w="1242" w:type="dxa"/>
            <w:vAlign w:val="center"/>
          </w:tcPr>
          <w:p>
            <w:pPr>
              <w:spacing w:line="400" w:lineRule="exact"/>
              <w:jc w:val="center"/>
              <w:rPr>
                <w:rFonts w:ascii="宋体" w:hAnsi="宋体"/>
                <w:color w:val="auto"/>
                <w:sz w:val="24"/>
              </w:rPr>
            </w:pPr>
          </w:p>
        </w:tc>
        <w:tc>
          <w:tcPr>
            <w:tcW w:w="1681" w:type="dxa"/>
            <w:vAlign w:val="center"/>
          </w:tcPr>
          <w:p>
            <w:pPr>
              <w:spacing w:line="400" w:lineRule="exact"/>
              <w:jc w:val="center"/>
              <w:rPr>
                <w:rFonts w:ascii="宋体" w:hAnsi="宋体"/>
                <w:color w:val="auto"/>
                <w:sz w:val="24"/>
              </w:rPr>
            </w:pPr>
          </w:p>
        </w:tc>
      </w:tr>
      <w:tr>
        <w:tblPrEx>
          <w:tblW w:w="9264" w:type="dxa"/>
          <w:jc w:val="center"/>
          <w:tblLayout w:type="fixed"/>
          <w:tblCellMar>
            <w:top w:w="0" w:type="dxa"/>
            <w:left w:w="108" w:type="dxa"/>
            <w:bottom w:w="0" w:type="dxa"/>
            <w:right w:w="108" w:type="dxa"/>
          </w:tblCellMar>
        </w:tblPrEx>
        <w:trPr>
          <w:trHeight w:val="549"/>
          <w:jc w:val="center"/>
        </w:trPr>
        <w:tc>
          <w:tcPr>
            <w:tcW w:w="572" w:type="dxa"/>
            <w:vAlign w:val="center"/>
          </w:tcPr>
          <w:p>
            <w:pPr>
              <w:spacing w:line="400" w:lineRule="exact"/>
              <w:jc w:val="center"/>
              <w:rPr>
                <w:rFonts w:ascii="宋体" w:hAnsi="宋体"/>
                <w:color w:val="auto"/>
                <w:sz w:val="24"/>
              </w:rPr>
            </w:pPr>
          </w:p>
        </w:tc>
        <w:tc>
          <w:tcPr>
            <w:tcW w:w="1034" w:type="dxa"/>
            <w:vAlign w:val="center"/>
          </w:tcPr>
          <w:p>
            <w:pPr>
              <w:spacing w:line="400" w:lineRule="exact"/>
              <w:jc w:val="center"/>
              <w:rPr>
                <w:rFonts w:ascii="宋体" w:hAnsi="宋体"/>
                <w:color w:val="auto"/>
                <w:sz w:val="24"/>
              </w:rPr>
            </w:pPr>
          </w:p>
        </w:tc>
        <w:tc>
          <w:tcPr>
            <w:tcW w:w="823" w:type="dxa"/>
            <w:vAlign w:val="center"/>
          </w:tcPr>
          <w:p>
            <w:pPr>
              <w:spacing w:line="400" w:lineRule="exact"/>
              <w:jc w:val="center"/>
              <w:rPr>
                <w:rFonts w:ascii="宋体" w:hAnsi="宋体"/>
                <w:color w:val="auto"/>
                <w:sz w:val="24"/>
              </w:rPr>
            </w:pPr>
          </w:p>
        </w:tc>
        <w:tc>
          <w:tcPr>
            <w:tcW w:w="822" w:type="dxa"/>
            <w:vAlign w:val="center"/>
          </w:tcPr>
          <w:p>
            <w:pPr>
              <w:spacing w:line="400" w:lineRule="exact"/>
              <w:jc w:val="center"/>
              <w:rPr>
                <w:rFonts w:ascii="宋体" w:hAnsi="宋体"/>
                <w:color w:val="auto"/>
                <w:sz w:val="24"/>
              </w:rPr>
            </w:pPr>
          </w:p>
        </w:tc>
        <w:tc>
          <w:tcPr>
            <w:tcW w:w="822" w:type="dxa"/>
            <w:vAlign w:val="center"/>
          </w:tcPr>
          <w:p>
            <w:pPr>
              <w:spacing w:line="400" w:lineRule="exact"/>
              <w:jc w:val="center"/>
              <w:rPr>
                <w:rFonts w:ascii="宋体" w:hAnsi="宋体"/>
                <w:color w:val="auto"/>
                <w:sz w:val="24"/>
              </w:rPr>
            </w:pPr>
          </w:p>
        </w:tc>
        <w:tc>
          <w:tcPr>
            <w:tcW w:w="1051" w:type="dxa"/>
            <w:vAlign w:val="center"/>
          </w:tcPr>
          <w:p>
            <w:pPr>
              <w:spacing w:line="400" w:lineRule="exact"/>
              <w:jc w:val="center"/>
              <w:rPr>
                <w:rFonts w:ascii="宋体" w:hAnsi="宋体"/>
                <w:color w:val="auto"/>
                <w:sz w:val="24"/>
              </w:rPr>
            </w:pPr>
          </w:p>
        </w:tc>
        <w:tc>
          <w:tcPr>
            <w:tcW w:w="1217" w:type="dxa"/>
            <w:vAlign w:val="center"/>
          </w:tcPr>
          <w:p>
            <w:pPr>
              <w:spacing w:line="400" w:lineRule="exact"/>
              <w:jc w:val="center"/>
              <w:rPr>
                <w:rFonts w:ascii="宋体" w:hAnsi="宋体"/>
                <w:color w:val="auto"/>
                <w:sz w:val="24"/>
              </w:rPr>
            </w:pPr>
          </w:p>
        </w:tc>
        <w:tc>
          <w:tcPr>
            <w:tcW w:w="1242" w:type="dxa"/>
            <w:vAlign w:val="center"/>
          </w:tcPr>
          <w:p>
            <w:pPr>
              <w:spacing w:line="400" w:lineRule="exact"/>
              <w:jc w:val="center"/>
              <w:rPr>
                <w:rFonts w:ascii="宋体" w:hAnsi="宋体"/>
                <w:color w:val="auto"/>
                <w:sz w:val="24"/>
              </w:rPr>
            </w:pPr>
          </w:p>
        </w:tc>
        <w:tc>
          <w:tcPr>
            <w:tcW w:w="1681" w:type="dxa"/>
            <w:vAlign w:val="center"/>
          </w:tcPr>
          <w:p>
            <w:pPr>
              <w:spacing w:line="400" w:lineRule="exact"/>
              <w:jc w:val="center"/>
              <w:rPr>
                <w:rFonts w:ascii="宋体" w:hAnsi="宋体"/>
                <w:color w:val="auto"/>
                <w:sz w:val="24"/>
              </w:rPr>
            </w:pPr>
          </w:p>
        </w:tc>
      </w:tr>
      <w:tr>
        <w:tblPrEx>
          <w:tblW w:w="9264" w:type="dxa"/>
          <w:jc w:val="center"/>
          <w:tblLayout w:type="fixed"/>
          <w:tblCellMar>
            <w:top w:w="0" w:type="dxa"/>
            <w:left w:w="108" w:type="dxa"/>
            <w:bottom w:w="0" w:type="dxa"/>
            <w:right w:w="108" w:type="dxa"/>
          </w:tblCellMar>
        </w:tblPrEx>
        <w:trPr>
          <w:trHeight w:val="549"/>
          <w:jc w:val="center"/>
        </w:trPr>
        <w:tc>
          <w:tcPr>
            <w:tcW w:w="572" w:type="dxa"/>
            <w:vAlign w:val="center"/>
          </w:tcPr>
          <w:p>
            <w:pPr>
              <w:spacing w:line="400" w:lineRule="exact"/>
              <w:jc w:val="center"/>
              <w:rPr>
                <w:rFonts w:ascii="宋体" w:hAnsi="宋体"/>
                <w:color w:val="auto"/>
                <w:sz w:val="24"/>
              </w:rPr>
            </w:pPr>
          </w:p>
        </w:tc>
        <w:tc>
          <w:tcPr>
            <w:tcW w:w="1034" w:type="dxa"/>
            <w:vAlign w:val="center"/>
          </w:tcPr>
          <w:p>
            <w:pPr>
              <w:spacing w:line="400" w:lineRule="exact"/>
              <w:jc w:val="center"/>
              <w:rPr>
                <w:rFonts w:ascii="宋体" w:hAnsi="宋体"/>
                <w:color w:val="auto"/>
                <w:sz w:val="24"/>
              </w:rPr>
            </w:pPr>
          </w:p>
        </w:tc>
        <w:tc>
          <w:tcPr>
            <w:tcW w:w="823" w:type="dxa"/>
            <w:vAlign w:val="center"/>
          </w:tcPr>
          <w:p>
            <w:pPr>
              <w:spacing w:line="400" w:lineRule="exact"/>
              <w:jc w:val="center"/>
              <w:rPr>
                <w:rFonts w:ascii="宋体" w:hAnsi="宋体"/>
                <w:color w:val="auto"/>
                <w:sz w:val="24"/>
              </w:rPr>
            </w:pPr>
          </w:p>
        </w:tc>
        <w:tc>
          <w:tcPr>
            <w:tcW w:w="822" w:type="dxa"/>
            <w:vAlign w:val="center"/>
          </w:tcPr>
          <w:p>
            <w:pPr>
              <w:spacing w:line="400" w:lineRule="exact"/>
              <w:jc w:val="center"/>
              <w:rPr>
                <w:rFonts w:ascii="宋体" w:hAnsi="宋体"/>
                <w:color w:val="auto"/>
                <w:sz w:val="24"/>
              </w:rPr>
            </w:pPr>
          </w:p>
        </w:tc>
        <w:tc>
          <w:tcPr>
            <w:tcW w:w="822" w:type="dxa"/>
            <w:vAlign w:val="center"/>
          </w:tcPr>
          <w:p>
            <w:pPr>
              <w:spacing w:line="400" w:lineRule="exact"/>
              <w:jc w:val="center"/>
              <w:rPr>
                <w:rFonts w:ascii="宋体" w:hAnsi="宋体"/>
                <w:color w:val="auto"/>
                <w:sz w:val="24"/>
              </w:rPr>
            </w:pPr>
          </w:p>
        </w:tc>
        <w:tc>
          <w:tcPr>
            <w:tcW w:w="1051" w:type="dxa"/>
            <w:vAlign w:val="center"/>
          </w:tcPr>
          <w:p>
            <w:pPr>
              <w:spacing w:line="400" w:lineRule="exact"/>
              <w:jc w:val="center"/>
              <w:rPr>
                <w:rFonts w:ascii="宋体" w:hAnsi="宋体"/>
                <w:color w:val="auto"/>
                <w:sz w:val="24"/>
              </w:rPr>
            </w:pPr>
          </w:p>
        </w:tc>
        <w:tc>
          <w:tcPr>
            <w:tcW w:w="1217" w:type="dxa"/>
            <w:vAlign w:val="center"/>
          </w:tcPr>
          <w:p>
            <w:pPr>
              <w:spacing w:line="400" w:lineRule="exact"/>
              <w:jc w:val="center"/>
              <w:rPr>
                <w:rFonts w:ascii="宋体" w:hAnsi="宋体"/>
                <w:color w:val="auto"/>
                <w:sz w:val="24"/>
              </w:rPr>
            </w:pPr>
          </w:p>
        </w:tc>
        <w:tc>
          <w:tcPr>
            <w:tcW w:w="1242" w:type="dxa"/>
            <w:vAlign w:val="center"/>
          </w:tcPr>
          <w:p>
            <w:pPr>
              <w:spacing w:line="400" w:lineRule="exact"/>
              <w:jc w:val="center"/>
              <w:rPr>
                <w:rFonts w:ascii="宋体" w:hAnsi="宋体"/>
                <w:color w:val="auto"/>
                <w:sz w:val="24"/>
              </w:rPr>
            </w:pPr>
          </w:p>
        </w:tc>
        <w:tc>
          <w:tcPr>
            <w:tcW w:w="1681" w:type="dxa"/>
            <w:vAlign w:val="center"/>
          </w:tcPr>
          <w:p>
            <w:pPr>
              <w:spacing w:line="400" w:lineRule="exact"/>
              <w:jc w:val="center"/>
              <w:rPr>
                <w:rFonts w:ascii="宋体" w:hAnsi="宋体"/>
                <w:color w:val="auto"/>
                <w:sz w:val="24"/>
              </w:rPr>
            </w:pPr>
          </w:p>
        </w:tc>
      </w:tr>
      <w:tr>
        <w:tblPrEx>
          <w:tblW w:w="9264" w:type="dxa"/>
          <w:jc w:val="center"/>
          <w:tblLayout w:type="fixed"/>
          <w:tblCellMar>
            <w:top w:w="0" w:type="dxa"/>
            <w:left w:w="108" w:type="dxa"/>
            <w:bottom w:w="0" w:type="dxa"/>
            <w:right w:w="108" w:type="dxa"/>
          </w:tblCellMar>
        </w:tblPrEx>
        <w:trPr>
          <w:trHeight w:val="549"/>
          <w:jc w:val="center"/>
        </w:trPr>
        <w:tc>
          <w:tcPr>
            <w:tcW w:w="572" w:type="dxa"/>
            <w:vAlign w:val="center"/>
          </w:tcPr>
          <w:p>
            <w:pPr>
              <w:spacing w:line="400" w:lineRule="exact"/>
              <w:jc w:val="center"/>
              <w:rPr>
                <w:rFonts w:ascii="宋体" w:hAnsi="宋体"/>
                <w:sz w:val="24"/>
              </w:rPr>
            </w:pPr>
          </w:p>
        </w:tc>
        <w:tc>
          <w:tcPr>
            <w:tcW w:w="1034" w:type="dxa"/>
            <w:vAlign w:val="center"/>
          </w:tcPr>
          <w:p>
            <w:pPr>
              <w:spacing w:line="400" w:lineRule="exact"/>
              <w:jc w:val="center"/>
              <w:rPr>
                <w:rFonts w:ascii="宋体" w:hAnsi="宋体"/>
                <w:sz w:val="24"/>
              </w:rPr>
            </w:pPr>
          </w:p>
        </w:tc>
        <w:tc>
          <w:tcPr>
            <w:tcW w:w="823" w:type="dxa"/>
            <w:vAlign w:val="center"/>
          </w:tcPr>
          <w:p>
            <w:pPr>
              <w:spacing w:line="400" w:lineRule="exact"/>
              <w:jc w:val="center"/>
              <w:rPr>
                <w:rFonts w:ascii="宋体" w:hAnsi="宋体"/>
                <w:sz w:val="24"/>
              </w:rPr>
            </w:pPr>
          </w:p>
        </w:tc>
        <w:tc>
          <w:tcPr>
            <w:tcW w:w="822" w:type="dxa"/>
            <w:vAlign w:val="center"/>
          </w:tcPr>
          <w:p>
            <w:pPr>
              <w:spacing w:line="400" w:lineRule="exact"/>
              <w:jc w:val="center"/>
              <w:rPr>
                <w:rFonts w:ascii="宋体" w:hAnsi="宋体"/>
                <w:sz w:val="24"/>
              </w:rPr>
            </w:pPr>
          </w:p>
        </w:tc>
        <w:tc>
          <w:tcPr>
            <w:tcW w:w="822" w:type="dxa"/>
            <w:vAlign w:val="center"/>
          </w:tcPr>
          <w:p>
            <w:pPr>
              <w:spacing w:line="400" w:lineRule="exact"/>
              <w:jc w:val="center"/>
              <w:rPr>
                <w:rFonts w:ascii="宋体" w:hAnsi="宋体"/>
                <w:sz w:val="24"/>
              </w:rPr>
            </w:pPr>
          </w:p>
        </w:tc>
        <w:tc>
          <w:tcPr>
            <w:tcW w:w="1051" w:type="dxa"/>
            <w:vAlign w:val="center"/>
          </w:tcPr>
          <w:p>
            <w:pPr>
              <w:spacing w:line="400" w:lineRule="exact"/>
              <w:jc w:val="center"/>
              <w:rPr>
                <w:rFonts w:ascii="宋体" w:hAnsi="宋体"/>
                <w:sz w:val="24"/>
              </w:rPr>
            </w:pPr>
          </w:p>
        </w:tc>
        <w:tc>
          <w:tcPr>
            <w:tcW w:w="1217" w:type="dxa"/>
            <w:vAlign w:val="center"/>
          </w:tcPr>
          <w:p>
            <w:pPr>
              <w:spacing w:line="400" w:lineRule="exact"/>
              <w:jc w:val="center"/>
              <w:rPr>
                <w:rFonts w:ascii="宋体" w:hAnsi="宋体"/>
                <w:sz w:val="24"/>
              </w:rPr>
            </w:pPr>
          </w:p>
        </w:tc>
        <w:tc>
          <w:tcPr>
            <w:tcW w:w="1242" w:type="dxa"/>
            <w:vAlign w:val="center"/>
          </w:tcPr>
          <w:p>
            <w:pPr>
              <w:spacing w:line="400" w:lineRule="exact"/>
              <w:jc w:val="center"/>
              <w:rPr>
                <w:rFonts w:ascii="宋体" w:hAnsi="宋体"/>
                <w:sz w:val="24"/>
              </w:rPr>
            </w:pPr>
          </w:p>
        </w:tc>
        <w:tc>
          <w:tcPr>
            <w:tcW w:w="1681" w:type="dxa"/>
            <w:vAlign w:val="center"/>
          </w:tcPr>
          <w:p>
            <w:pPr>
              <w:spacing w:line="400" w:lineRule="exact"/>
              <w:jc w:val="center"/>
              <w:rPr>
                <w:rFonts w:ascii="宋体" w:hAnsi="宋体"/>
                <w:sz w:val="24"/>
              </w:rPr>
            </w:pPr>
          </w:p>
        </w:tc>
      </w:tr>
    </w:tbl>
    <w:p>
      <w:pPr>
        <w:spacing w:line="500" w:lineRule="exact"/>
        <w:rPr>
          <w:rFonts w:ascii="宋体" w:hAnsi="宋体"/>
          <w:bCs/>
          <w:color w:val="FF0000"/>
          <w:sz w:val="24"/>
        </w:rPr>
      </w:pPr>
      <w:r>
        <w:rPr>
          <w:rFonts w:ascii="宋体" w:hAnsi="宋体" w:hint="eastAsia"/>
          <w:bCs/>
          <w:sz w:val="24"/>
        </w:rPr>
        <w:t>备注</w:t>
      </w:r>
      <w:r>
        <w:rPr>
          <w:rFonts w:hint="eastAsia"/>
          <w:bCs/>
          <w:sz w:val="24"/>
        </w:rPr>
        <w:t>：</w:t>
      </w:r>
      <w:r>
        <w:rPr>
          <w:rFonts w:ascii="宋体" w:hAnsi="宋体" w:hint="eastAsia"/>
          <w:sz w:val="24"/>
        </w:rPr>
        <w:t>根据评分表的要求提交相应资料</w:t>
      </w:r>
      <w:r>
        <w:rPr>
          <w:rFonts w:ascii="宋体" w:hAnsi="宋体" w:hint="eastAsia"/>
          <w:bCs/>
          <w:sz w:val="24"/>
        </w:rPr>
        <w:t>。</w:t>
      </w:r>
    </w:p>
    <w:p>
      <w:pPr>
        <w:spacing w:line="500" w:lineRule="exact"/>
        <w:ind w:firstLine="420" w:firstLineChars="200"/>
        <w:rPr>
          <w:spacing w:val="4"/>
          <w:sz w:val="24"/>
        </w:rPr>
      </w:pPr>
    </w:p>
    <w:p>
      <w:pPr>
        <w:spacing w:line="500" w:lineRule="exact"/>
        <w:ind w:firstLine="420" w:firstLineChars="200"/>
        <w:rPr>
          <w:spacing w:val="4"/>
        </w:rPr>
      </w:pPr>
    </w:p>
    <w:p>
      <w:pPr>
        <w:rPr>
          <w:b w:val="0"/>
          <w:color w:val="auto"/>
        </w:rPr>
      </w:pPr>
      <w:r>
        <w:rPr>
          <w:rFonts w:hint="eastAsia"/>
          <w:b w:val="0"/>
          <w:color w:val="auto"/>
        </w:rPr>
        <w:br w:type="page"/>
      </w:r>
    </w:p>
    <w:p>
      <w:pPr>
        <w:pStyle w:val="Heading2"/>
        <w:numPr>
          <w:ilvl w:val="0"/>
          <w:numId w:val="72"/>
        </w:numPr>
        <w:spacing w:line="240" w:lineRule="auto"/>
        <w:jc w:val="center"/>
        <w:rPr>
          <w:b w:val="0"/>
          <w:color w:val="auto"/>
        </w:rPr>
      </w:pPr>
      <w:bookmarkStart w:id="234" w:name="_Toc28257"/>
      <w:bookmarkStart w:id="235" w:name="_Toc256000039"/>
      <w:r>
        <w:rPr>
          <w:rFonts w:hint="eastAsia"/>
          <w:b w:val="0"/>
          <w:color w:val="auto"/>
        </w:rPr>
        <w:t>投标人自主知识产权产品（创新、设计）情况</w:t>
      </w:r>
      <w:bookmarkEnd w:id="235"/>
      <w:bookmarkEnd w:id="234"/>
    </w:p>
    <w:p>
      <w:pPr>
        <w:rPr>
          <w:b w:val="0"/>
          <w:color w:val="auto"/>
        </w:rPr>
      </w:pPr>
      <w:r>
        <w:rPr>
          <w:rFonts w:hint="eastAsia"/>
          <w:b w:val="0"/>
          <w:color w:val="auto"/>
        </w:rPr>
        <w:br w:type="page"/>
      </w:r>
    </w:p>
    <w:p>
      <w:pPr>
        <w:pStyle w:val="Heading2"/>
        <w:numPr>
          <w:ilvl w:val="0"/>
          <w:numId w:val="72"/>
        </w:numPr>
        <w:spacing w:line="240" w:lineRule="auto"/>
        <w:jc w:val="center"/>
        <w:rPr>
          <w:b w:val="0"/>
          <w:color w:val="auto"/>
        </w:rPr>
      </w:pPr>
      <w:bookmarkStart w:id="236" w:name="_Toc8569"/>
      <w:bookmarkStart w:id="237" w:name="_Toc256000040"/>
      <w:r>
        <w:rPr>
          <w:rFonts w:hint="eastAsia"/>
          <w:b w:val="0"/>
          <w:color w:val="auto"/>
        </w:rPr>
        <w:t>服务质量保障</w:t>
      </w:r>
      <w:bookmarkEnd w:id="237"/>
      <w:bookmarkEnd w:id="236"/>
    </w:p>
    <w:p>
      <w:pPr>
        <w:rPr>
          <w:b w:val="0"/>
          <w:color w:val="auto"/>
        </w:rPr>
      </w:pPr>
      <w:r>
        <w:rPr>
          <w:rFonts w:hint="eastAsia"/>
          <w:b w:val="0"/>
          <w:color w:val="auto"/>
        </w:rPr>
        <w:br w:type="page"/>
      </w:r>
    </w:p>
    <w:p>
      <w:pPr>
        <w:pStyle w:val="Heading2"/>
        <w:numPr>
          <w:ilvl w:val="0"/>
          <w:numId w:val="72"/>
        </w:numPr>
        <w:spacing w:line="240" w:lineRule="auto"/>
        <w:jc w:val="center"/>
        <w:rPr>
          <w:b w:val="0"/>
          <w:color w:val="auto"/>
        </w:rPr>
      </w:pPr>
      <w:bookmarkStart w:id="238" w:name="_Toc17015"/>
      <w:bookmarkStart w:id="239" w:name="_Toc256000041"/>
      <w:r>
        <w:rPr>
          <w:rFonts w:hint="eastAsia"/>
          <w:b w:val="0"/>
          <w:color w:val="auto"/>
        </w:rPr>
        <w:t>项目拟使用的车辆情况</w:t>
      </w:r>
      <w:bookmarkEnd w:id="239"/>
      <w:bookmarkEnd w:id="238"/>
    </w:p>
    <w:p>
      <w:pPr>
        <w:rPr>
          <w:b w:val="0"/>
          <w:color w:val="auto"/>
        </w:rPr>
      </w:pPr>
      <w:r>
        <w:rPr>
          <w:rFonts w:hint="eastAsia"/>
          <w:b w:val="0"/>
          <w:color w:val="auto"/>
        </w:rPr>
        <w:br w:type="page"/>
      </w:r>
    </w:p>
    <w:p>
      <w:pPr>
        <w:pStyle w:val="Heading2"/>
        <w:numPr>
          <w:ilvl w:val="0"/>
          <w:numId w:val="72"/>
        </w:numPr>
        <w:spacing w:line="240" w:lineRule="auto"/>
        <w:jc w:val="center"/>
        <w:rPr>
          <w:b w:val="0"/>
        </w:rPr>
      </w:pP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Start w:id="240" w:name="_Toc9244"/>
      <w:bookmarkStart w:id="241" w:name="_Toc31548"/>
      <w:bookmarkStart w:id="242" w:name="_Toc30664891"/>
      <w:bookmarkStart w:id="243" w:name="_Toc256000042"/>
      <w:r>
        <w:rPr>
          <w:rFonts w:hint="eastAsia"/>
          <w:b w:val="0"/>
        </w:rPr>
        <w:t>开票资料说明函</w:t>
      </w:r>
      <w:bookmarkEnd w:id="243"/>
      <w:bookmarkEnd w:id="240"/>
    </w:p>
    <w:p>
      <w:pPr>
        <w:snapToGrid w:val="0"/>
        <w:spacing w:line="360" w:lineRule="auto"/>
        <w:rPr>
          <w:rFonts w:ascii="宋体" w:hAnsi="宋体"/>
          <w:b/>
          <w:sz w:val="24"/>
        </w:rPr>
      </w:pPr>
      <w:r>
        <w:rPr>
          <w:rFonts w:ascii="宋体" w:hAnsi="宋体" w:hint="eastAsia"/>
          <w:b/>
          <w:sz w:val="24"/>
        </w:rPr>
        <w:t>采联国际招标采购集团有限公司:</w:t>
      </w:r>
    </w:p>
    <w:p>
      <w:pPr>
        <w:snapToGrid w:val="0"/>
        <w:spacing w:line="360" w:lineRule="auto"/>
        <w:ind w:firstLine="420" w:firstLineChars="200"/>
        <w:rPr>
          <w:rFonts w:ascii="宋体" w:cs="宋体"/>
          <w:sz w:val="24"/>
        </w:rPr>
      </w:pPr>
      <w:r>
        <w:rPr>
          <w:rFonts w:ascii="宋体" w:hAnsi="宋体" w:hint="eastAsia"/>
          <w:sz w:val="24"/>
        </w:rPr>
        <w:t>本公司</w:t>
      </w:r>
      <w:r>
        <w:rPr>
          <w:rFonts w:ascii="宋体" w:hAnsi="宋体" w:hint="eastAsia"/>
          <w:sz w:val="24"/>
          <w:u w:val="single"/>
        </w:rPr>
        <w:t xml:space="preserve">       (供应商名称)      </w:t>
      </w:r>
      <w:r>
        <w:rPr>
          <w:rFonts w:ascii="宋体" w:hAnsi="宋体" w:hint="eastAsia"/>
          <w:sz w:val="24"/>
        </w:rPr>
        <w:t>在参加在贵公司举行的</w:t>
      </w:r>
      <w:r>
        <w:rPr>
          <w:rFonts w:ascii="宋体" w:hAnsi="宋体" w:hint="eastAsia"/>
          <w:sz w:val="24"/>
          <w:u w:val="single"/>
        </w:rPr>
        <w:t xml:space="preserve">       </w:t>
      </w:r>
      <w:r>
        <w:rPr>
          <w:rFonts w:ascii="宋体" w:hAnsi="宋体" w:hint="eastAsia"/>
          <w:sz w:val="24"/>
          <w:u w:val="single"/>
          <w:lang w:eastAsia="zh-CN"/>
        </w:rPr>
        <w:t>2023-2024年基准年碳核查全流程技术支持服务</w:t>
      </w:r>
      <w:r>
        <w:rPr>
          <w:rFonts w:ascii="宋体" w:hAnsi="宋体" w:hint="eastAsia"/>
          <w:sz w:val="24"/>
          <w:u w:val="single"/>
        </w:rPr>
        <w:t xml:space="preserve">      </w:t>
      </w:r>
      <w:r>
        <w:rPr>
          <w:rFonts w:ascii="宋体" w:hAnsi="宋体" w:hint="eastAsia"/>
          <w:sz w:val="24"/>
        </w:rPr>
        <w:t>(</w:t>
      </w:r>
      <w:r>
        <w:rPr>
          <w:rFonts w:hint="eastAsia"/>
          <w:sz w:val="24"/>
        </w:rPr>
        <w:t>项目编号：</w:t>
      </w:r>
      <w:r>
        <w:rPr>
          <w:rFonts w:hint="eastAsia"/>
          <w:sz w:val="24"/>
          <w:lang w:eastAsia="zh-CN"/>
        </w:rPr>
        <w:t>SZDL2022002374（CLF0122SZ17ZC77）</w:t>
      </w:r>
      <w:r>
        <w:rPr>
          <w:rFonts w:ascii="宋体" w:hAnsi="宋体" w:hint="eastAsia"/>
          <w:sz w:val="24"/>
        </w:rPr>
        <w:t>)的招标中如获中标</w:t>
      </w:r>
      <w:r>
        <w:rPr>
          <w:rFonts w:ascii="宋体" w:cs="宋体" w:hint="eastAsia"/>
          <w:sz w:val="24"/>
        </w:rPr>
        <w:t>，则开票类型选择</w:t>
      </w:r>
      <w:r>
        <w:rPr>
          <w:rFonts w:ascii="宋体" w:hAnsi="宋体" w:hint="eastAsia"/>
          <w:b/>
          <w:sz w:val="24"/>
          <w:u w:val="single"/>
        </w:rPr>
        <w:t>□增值税普通发票□增值税专用发票</w:t>
      </w:r>
      <w:r>
        <w:rPr>
          <w:rFonts w:ascii="宋体" w:hAnsi="宋体" w:hint="eastAsia"/>
          <w:sz w:val="24"/>
        </w:rPr>
        <w:t>（</w:t>
      </w:r>
      <w:r>
        <w:rPr>
          <w:rFonts w:ascii="宋体" w:hAnsi="宋体" w:hint="eastAsia"/>
          <w:b/>
          <w:sz w:val="24"/>
        </w:rPr>
        <w:t>请在对应的“□”打“√”，且只能选择其中一项）</w:t>
      </w:r>
      <w:r>
        <w:rPr>
          <w:rFonts w:ascii="宋体" w:cs="宋体" w:hint="eastAsia"/>
          <w:sz w:val="24"/>
        </w:rPr>
        <w:t>，以及我司的开票资料如下：</w:t>
      </w:r>
    </w:p>
    <w:tbl>
      <w:tblPr>
        <w:tblStyle w:val="TableNormal"/>
        <w:tblW w:w="907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0" w:type="dxa"/>
          <w:left w:w="108" w:type="dxa"/>
          <w:bottom w:w="0" w:type="dxa"/>
          <w:right w:w="108" w:type="dxa"/>
        </w:tblCellMar>
      </w:tblPr>
      <w:tblGrid>
        <w:gridCol w:w="2471"/>
        <w:gridCol w:w="3763"/>
        <w:gridCol w:w="1179"/>
        <w:gridCol w:w="1665"/>
      </w:tblGrid>
      <w:tr>
        <w:tblPrEx>
          <w:tblW w:w="907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0" w:type="dxa"/>
            <w:left w:w="108" w:type="dxa"/>
            <w:bottom w:w="0" w:type="dxa"/>
            <w:right w:w="108" w:type="dxa"/>
          </w:tblCellMar>
        </w:tblPrEx>
        <w:trPr>
          <w:cantSplit/>
          <w:trHeight w:val="459"/>
          <w:jc w:val="center"/>
        </w:trPr>
        <w:tc>
          <w:tcPr>
            <w:tcW w:w="2471" w:type="dxa"/>
            <w:vAlign w:val="center"/>
          </w:tcPr>
          <w:p>
            <w:pPr>
              <w:jc w:val="center"/>
              <w:rPr>
                <w:rFonts w:ascii="宋体"/>
                <w:sz w:val="24"/>
              </w:rPr>
            </w:pPr>
            <w:r>
              <w:rPr>
                <w:rFonts w:ascii="宋体" w:hint="eastAsia"/>
                <w:sz w:val="24"/>
              </w:rPr>
              <w:t>单位名称</w:t>
            </w:r>
          </w:p>
        </w:tc>
        <w:tc>
          <w:tcPr>
            <w:tcW w:w="6607" w:type="dxa"/>
            <w:gridSpan w:val="3"/>
            <w:vAlign w:val="center"/>
          </w:tcPr>
          <w:p>
            <w:pPr>
              <w:jc w:val="center"/>
              <w:rPr>
                <w:rFonts w:ascii="宋体"/>
                <w:sz w:val="24"/>
              </w:rPr>
            </w:pPr>
          </w:p>
        </w:tc>
      </w:tr>
      <w:tr>
        <w:tblPrEx>
          <w:tblW w:w="9078" w:type="dxa"/>
          <w:jc w:val="center"/>
          <w:tblLayout w:type="fixed"/>
          <w:tblCellMar>
            <w:top w:w="0" w:type="dxa"/>
            <w:left w:w="108" w:type="dxa"/>
            <w:bottom w:w="0" w:type="dxa"/>
            <w:right w:w="108" w:type="dxa"/>
          </w:tblCellMar>
        </w:tblPrEx>
        <w:trPr>
          <w:cantSplit/>
          <w:trHeight w:val="459"/>
          <w:jc w:val="center"/>
        </w:trPr>
        <w:tc>
          <w:tcPr>
            <w:tcW w:w="2471" w:type="dxa"/>
            <w:vAlign w:val="center"/>
          </w:tcPr>
          <w:p>
            <w:pPr>
              <w:jc w:val="center"/>
              <w:rPr>
                <w:rFonts w:ascii="宋体"/>
                <w:sz w:val="24"/>
              </w:rPr>
            </w:pPr>
            <w:r>
              <w:rPr>
                <w:rFonts w:ascii="宋体" w:hAnsi="宋体" w:hint="eastAsia"/>
                <w:sz w:val="24"/>
              </w:rPr>
              <w:t>纳税人识别号</w:t>
            </w:r>
          </w:p>
        </w:tc>
        <w:tc>
          <w:tcPr>
            <w:tcW w:w="6607" w:type="dxa"/>
            <w:gridSpan w:val="3"/>
            <w:vAlign w:val="center"/>
          </w:tcPr>
          <w:p>
            <w:pPr>
              <w:jc w:val="center"/>
              <w:rPr>
                <w:rFonts w:ascii="宋体"/>
                <w:sz w:val="24"/>
              </w:rPr>
            </w:pPr>
          </w:p>
        </w:tc>
      </w:tr>
      <w:tr>
        <w:tblPrEx>
          <w:tblW w:w="9078" w:type="dxa"/>
          <w:jc w:val="center"/>
          <w:tblLayout w:type="fixed"/>
          <w:tblCellMar>
            <w:top w:w="0" w:type="dxa"/>
            <w:left w:w="108" w:type="dxa"/>
            <w:bottom w:w="0" w:type="dxa"/>
            <w:right w:w="108" w:type="dxa"/>
          </w:tblCellMar>
        </w:tblPrEx>
        <w:trPr>
          <w:cantSplit/>
          <w:trHeight w:val="459"/>
          <w:jc w:val="center"/>
        </w:trPr>
        <w:tc>
          <w:tcPr>
            <w:tcW w:w="2471" w:type="dxa"/>
            <w:vAlign w:val="center"/>
          </w:tcPr>
          <w:p>
            <w:pPr>
              <w:jc w:val="center"/>
              <w:rPr>
                <w:rFonts w:ascii="宋体"/>
                <w:sz w:val="24"/>
              </w:rPr>
            </w:pPr>
            <w:r>
              <w:rPr>
                <w:rFonts w:ascii="宋体" w:hint="eastAsia"/>
                <w:sz w:val="24"/>
              </w:rPr>
              <w:t>地址</w:t>
            </w:r>
          </w:p>
        </w:tc>
        <w:tc>
          <w:tcPr>
            <w:tcW w:w="6607" w:type="dxa"/>
            <w:gridSpan w:val="3"/>
            <w:vAlign w:val="center"/>
          </w:tcPr>
          <w:p>
            <w:pPr>
              <w:jc w:val="center"/>
              <w:rPr>
                <w:rFonts w:ascii="宋体"/>
                <w:sz w:val="24"/>
              </w:rPr>
            </w:pPr>
          </w:p>
        </w:tc>
      </w:tr>
      <w:tr>
        <w:tblPrEx>
          <w:tblW w:w="9078" w:type="dxa"/>
          <w:jc w:val="center"/>
          <w:tblLayout w:type="fixed"/>
          <w:tblCellMar>
            <w:top w:w="0" w:type="dxa"/>
            <w:left w:w="108" w:type="dxa"/>
            <w:bottom w:w="0" w:type="dxa"/>
            <w:right w:w="108" w:type="dxa"/>
          </w:tblCellMar>
        </w:tblPrEx>
        <w:trPr>
          <w:cantSplit/>
          <w:trHeight w:val="672"/>
          <w:jc w:val="center"/>
        </w:trPr>
        <w:tc>
          <w:tcPr>
            <w:tcW w:w="2471" w:type="dxa"/>
            <w:vAlign w:val="center"/>
          </w:tcPr>
          <w:p>
            <w:pPr>
              <w:jc w:val="center"/>
              <w:rPr>
                <w:rFonts w:ascii="宋体" w:eastAsia="宋体" w:hint="eastAsia"/>
                <w:sz w:val="24"/>
                <w:lang w:eastAsia="zh-CN"/>
              </w:rPr>
            </w:pPr>
            <w:r>
              <w:rPr>
                <w:rFonts w:ascii="宋体" w:hint="eastAsia"/>
                <w:sz w:val="24"/>
              </w:rPr>
              <w:t>开户银行</w:t>
            </w:r>
          </w:p>
          <w:p>
            <w:pPr>
              <w:jc w:val="center"/>
              <w:rPr>
                <w:rFonts w:ascii="宋体"/>
                <w:sz w:val="24"/>
              </w:rPr>
            </w:pPr>
            <w:r>
              <w:rPr>
                <w:rFonts w:ascii="宋体" w:hAnsi="宋体" w:hint="eastAsia"/>
                <w:sz w:val="24"/>
              </w:rPr>
              <w:t>（具体到XX银行XX支行）</w:t>
            </w:r>
          </w:p>
        </w:tc>
        <w:tc>
          <w:tcPr>
            <w:tcW w:w="3763" w:type="dxa"/>
            <w:vAlign w:val="center"/>
          </w:tcPr>
          <w:p>
            <w:pPr>
              <w:jc w:val="center"/>
              <w:rPr>
                <w:rFonts w:ascii="宋体"/>
                <w:sz w:val="24"/>
              </w:rPr>
            </w:pPr>
          </w:p>
        </w:tc>
        <w:tc>
          <w:tcPr>
            <w:tcW w:w="1179" w:type="dxa"/>
            <w:vAlign w:val="center"/>
          </w:tcPr>
          <w:p>
            <w:pPr>
              <w:jc w:val="center"/>
              <w:rPr>
                <w:rFonts w:ascii="宋体"/>
                <w:sz w:val="24"/>
              </w:rPr>
            </w:pPr>
            <w:r>
              <w:rPr>
                <w:rFonts w:ascii="宋体" w:hint="eastAsia"/>
                <w:sz w:val="24"/>
              </w:rPr>
              <w:t>联系电话</w:t>
            </w:r>
          </w:p>
        </w:tc>
        <w:tc>
          <w:tcPr>
            <w:tcW w:w="1665" w:type="dxa"/>
            <w:vAlign w:val="center"/>
          </w:tcPr>
          <w:p>
            <w:pPr>
              <w:jc w:val="center"/>
              <w:rPr>
                <w:rFonts w:ascii="宋体"/>
                <w:sz w:val="24"/>
              </w:rPr>
            </w:pPr>
          </w:p>
        </w:tc>
      </w:tr>
      <w:tr>
        <w:tblPrEx>
          <w:tblW w:w="9078" w:type="dxa"/>
          <w:jc w:val="center"/>
          <w:tblLayout w:type="fixed"/>
          <w:tblCellMar>
            <w:top w:w="0" w:type="dxa"/>
            <w:left w:w="108" w:type="dxa"/>
            <w:bottom w:w="0" w:type="dxa"/>
            <w:right w:w="108" w:type="dxa"/>
          </w:tblCellMar>
        </w:tblPrEx>
        <w:trPr>
          <w:cantSplit/>
          <w:trHeight w:val="459"/>
          <w:jc w:val="center"/>
        </w:trPr>
        <w:tc>
          <w:tcPr>
            <w:tcW w:w="2471" w:type="dxa"/>
            <w:vAlign w:val="center"/>
          </w:tcPr>
          <w:p>
            <w:pPr>
              <w:jc w:val="center"/>
              <w:rPr>
                <w:rFonts w:ascii="宋体"/>
                <w:sz w:val="24"/>
              </w:rPr>
            </w:pPr>
            <w:r>
              <w:rPr>
                <w:rFonts w:ascii="宋体" w:hint="eastAsia"/>
                <w:sz w:val="24"/>
              </w:rPr>
              <w:t>账    号</w:t>
            </w:r>
          </w:p>
        </w:tc>
        <w:tc>
          <w:tcPr>
            <w:tcW w:w="3763" w:type="dxa"/>
            <w:vAlign w:val="center"/>
          </w:tcPr>
          <w:p>
            <w:pPr>
              <w:jc w:val="center"/>
              <w:rPr>
                <w:rFonts w:ascii="宋体"/>
                <w:sz w:val="24"/>
              </w:rPr>
            </w:pPr>
          </w:p>
        </w:tc>
        <w:tc>
          <w:tcPr>
            <w:tcW w:w="1179" w:type="dxa"/>
            <w:vAlign w:val="center"/>
          </w:tcPr>
          <w:p>
            <w:pPr>
              <w:jc w:val="center"/>
              <w:rPr>
                <w:rFonts w:ascii="宋体"/>
                <w:sz w:val="24"/>
              </w:rPr>
            </w:pPr>
            <w:r>
              <w:rPr>
                <w:rFonts w:ascii="宋体" w:hint="eastAsia"/>
                <w:sz w:val="24"/>
              </w:rPr>
              <w:t>联系人</w:t>
            </w:r>
          </w:p>
        </w:tc>
        <w:tc>
          <w:tcPr>
            <w:tcW w:w="1665" w:type="dxa"/>
            <w:vAlign w:val="center"/>
          </w:tcPr>
          <w:p>
            <w:pPr>
              <w:jc w:val="center"/>
              <w:rPr>
                <w:rFonts w:ascii="宋体"/>
                <w:sz w:val="24"/>
              </w:rPr>
            </w:pPr>
          </w:p>
        </w:tc>
      </w:tr>
      <w:tr>
        <w:tblPrEx>
          <w:tblW w:w="9078" w:type="dxa"/>
          <w:jc w:val="center"/>
          <w:tblLayout w:type="fixed"/>
          <w:tblCellMar>
            <w:top w:w="0" w:type="dxa"/>
            <w:left w:w="108" w:type="dxa"/>
            <w:bottom w:w="0" w:type="dxa"/>
            <w:right w:w="108" w:type="dxa"/>
          </w:tblCellMar>
        </w:tblPrEx>
        <w:trPr>
          <w:cantSplit/>
          <w:trHeight w:val="573"/>
          <w:jc w:val="center"/>
        </w:trPr>
        <w:tc>
          <w:tcPr>
            <w:tcW w:w="9078" w:type="dxa"/>
            <w:gridSpan w:val="4"/>
            <w:vAlign w:val="center"/>
          </w:tcPr>
          <w:p>
            <w:pPr>
              <w:rPr>
                <w:rFonts w:ascii="宋体"/>
                <w:b/>
                <w:sz w:val="24"/>
              </w:rPr>
            </w:pPr>
            <w:r>
              <w:rPr>
                <w:rFonts w:ascii="宋体" w:hint="eastAsia"/>
                <w:b/>
                <w:sz w:val="24"/>
              </w:rPr>
              <w:t>附件：</w:t>
            </w:r>
            <w:r>
              <w:rPr>
                <w:rFonts w:ascii="宋体" w:hAnsi="宋体" w:hint="eastAsia"/>
                <w:b/>
                <w:sz w:val="24"/>
              </w:rPr>
              <w:t>一般纳税人资格认定税务通知书或其他可证明具有该项资格证明文件的扫描件。</w:t>
            </w:r>
          </w:p>
        </w:tc>
      </w:tr>
    </w:tbl>
    <w:p>
      <w:pPr>
        <w:spacing w:line="360" w:lineRule="auto"/>
        <w:ind w:firstLine="420" w:firstLineChars="200"/>
        <w:rPr>
          <w:rFonts w:ascii="宋体"/>
          <w:sz w:val="24"/>
        </w:rPr>
      </w:pPr>
      <w:r>
        <w:rPr>
          <w:rFonts w:ascii="宋体" w:hint="eastAsia"/>
          <w:sz w:val="24"/>
        </w:rPr>
        <w:t>投标截止日，如本单位（公司）未按该要求填写、未提供有效的开票资料、未确认开具发票类型或确认的发票类型有误，则视为开具增值税普通发票。同意采联国际招标采购集团有限公司不予更换发票类型。并愿承担由此引起的一切后果。</w:t>
      </w:r>
    </w:p>
    <w:p>
      <w:pPr>
        <w:spacing w:line="360" w:lineRule="auto"/>
        <w:ind w:firstLine="420" w:firstLineChars="200"/>
        <w:rPr>
          <w:rFonts w:ascii="宋体"/>
          <w:sz w:val="24"/>
        </w:rPr>
      </w:pPr>
    </w:p>
    <w:p>
      <w:pPr>
        <w:snapToGrid w:val="0"/>
        <w:spacing w:line="520" w:lineRule="exact"/>
        <w:ind w:left="780" w:firstLine="5172" w:firstLineChars="2463"/>
        <w:rPr>
          <w:rFonts w:ascii="宋体"/>
          <w:sz w:val="24"/>
        </w:rPr>
      </w:pPr>
    </w:p>
    <w:p>
      <w:r>
        <w:rPr>
          <w:rFonts w:hint="eastAsia"/>
        </w:rPr>
        <w:br w:type="page"/>
      </w:r>
    </w:p>
    <w:p>
      <w:pPr>
        <w:pStyle w:val="Heading2"/>
        <w:numPr>
          <w:ilvl w:val="0"/>
          <w:numId w:val="72"/>
        </w:numPr>
        <w:spacing w:line="240" w:lineRule="auto"/>
        <w:jc w:val="center"/>
        <w:rPr>
          <w:b w:val="0"/>
        </w:rPr>
      </w:pPr>
      <w:bookmarkStart w:id="244" w:name="_Toc5890"/>
      <w:bookmarkStart w:id="245" w:name="_Toc256000043"/>
      <w:r>
        <w:rPr>
          <w:rFonts w:hint="eastAsia"/>
          <w:b w:val="0"/>
        </w:rPr>
        <w:t>采购代理服务费承诺书</w:t>
      </w:r>
      <w:bookmarkEnd w:id="245"/>
      <w:bookmarkEnd w:id="241"/>
      <w:bookmarkEnd w:id="242"/>
      <w:bookmarkEnd w:id="244"/>
    </w:p>
    <w:p>
      <w:pPr>
        <w:spacing w:line="360" w:lineRule="auto"/>
        <w:rPr>
          <w:rFonts w:ascii="宋体" w:hAnsi="宋体" w:cs="宋体"/>
          <w:b/>
          <w:color w:val="auto"/>
          <w:sz w:val="24"/>
        </w:rPr>
      </w:pPr>
      <w:r>
        <w:rPr>
          <w:rFonts w:ascii="宋体" w:hAnsi="宋体" w:cs="宋体" w:hint="eastAsia"/>
          <w:b/>
          <w:sz w:val="24"/>
        </w:rPr>
        <w:t>采联国际招标采购集团有限公司:</w:t>
      </w:r>
    </w:p>
    <w:p>
      <w:pPr>
        <w:spacing w:line="360" w:lineRule="auto"/>
        <w:ind w:firstLine="420" w:firstLineChars="200"/>
        <w:rPr>
          <w:rFonts w:ascii="宋体" w:hAnsi="宋体" w:cs="宋体"/>
          <w:color w:val="auto"/>
          <w:sz w:val="24"/>
        </w:rPr>
      </w:pPr>
      <w:r>
        <w:rPr>
          <w:rFonts w:ascii="宋体" w:hAnsi="宋体" w:cs="宋体" w:hint="eastAsia"/>
          <w:color w:val="auto"/>
          <w:sz w:val="24"/>
        </w:rPr>
        <w:t>本公司</w:t>
      </w:r>
      <w:r>
        <w:rPr>
          <w:rFonts w:ascii="宋体" w:hAnsi="宋体" w:cs="宋体" w:hint="eastAsia"/>
          <w:color w:val="auto"/>
          <w:sz w:val="24"/>
          <w:u w:val="single"/>
        </w:rPr>
        <w:t xml:space="preserve">       (投标人名称)      </w:t>
      </w:r>
      <w:r>
        <w:rPr>
          <w:rFonts w:ascii="宋体" w:hAnsi="宋体" w:cs="宋体" w:hint="eastAsia"/>
          <w:color w:val="auto"/>
          <w:sz w:val="24"/>
        </w:rPr>
        <w:t>在参加</w:t>
      </w:r>
      <w:r>
        <w:rPr>
          <w:rFonts w:ascii="宋体" w:hAnsi="宋体" w:cs="宋体" w:hint="eastAsia"/>
          <w:color w:val="auto"/>
          <w:sz w:val="24"/>
          <w:u w:val="single"/>
        </w:rPr>
        <w:t xml:space="preserve">      </w:t>
      </w:r>
      <w:r>
        <w:rPr>
          <w:rFonts w:ascii="宋体" w:hAnsi="宋体" w:cs="宋体" w:hint="eastAsia"/>
          <w:color w:val="auto"/>
          <w:sz w:val="24"/>
          <w:u w:val="single"/>
          <w:lang w:eastAsia="zh-CN"/>
        </w:rPr>
        <w:t>2023-2024年基准年碳核查全流程技术支持服务</w:t>
      </w:r>
      <w:r>
        <w:rPr>
          <w:rFonts w:ascii="宋体" w:hAnsi="宋体" w:cs="宋体" w:hint="eastAsia"/>
          <w:color w:val="auto"/>
          <w:sz w:val="24"/>
          <w:u w:val="single"/>
        </w:rPr>
        <w:t xml:space="preserve">      </w:t>
      </w:r>
      <w:r>
        <w:rPr>
          <w:rFonts w:ascii="宋体" w:hAnsi="宋体" w:cs="宋体" w:hint="eastAsia"/>
          <w:color w:val="auto"/>
          <w:sz w:val="24"/>
        </w:rPr>
        <w:t>(项目编号：</w:t>
      </w:r>
      <w:r>
        <w:rPr>
          <w:rFonts w:ascii="宋体" w:hAnsi="宋体" w:cs="宋体" w:hint="eastAsia"/>
          <w:color w:val="auto"/>
          <w:sz w:val="24"/>
          <w:lang w:eastAsia="zh-CN"/>
        </w:rPr>
        <w:t>SZDL2022002374（CLF0122SZ17ZC77）</w:t>
      </w:r>
      <w:r>
        <w:rPr>
          <w:rFonts w:ascii="宋体" w:hAnsi="宋体" w:cs="宋体" w:hint="eastAsia"/>
          <w:color w:val="auto"/>
          <w:sz w:val="24"/>
        </w:rPr>
        <w:t>)的招标中如获中标，本单位（公司）保证按照招标文件的规定缴纳“采购代理服务费”后，凭领取人身份证复印件并加盖公章领取《中标通知书》。如采用电汇或银行转账，本单位（公司）将同时递交采购代理服务费缴费凭证复印件并加盖公章。</w:t>
      </w:r>
    </w:p>
    <w:p>
      <w:pPr>
        <w:spacing w:line="360" w:lineRule="auto"/>
        <w:ind w:firstLine="420" w:firstLineChars="200"/>
        <w:rPr>
          <w:rFonts w:ascii="宋体" w:hAnsi="宋体" w:cs="宋体"/>
          <w:color w:val="auto"/>
          <w:sz w:val="24"/>
        </w:rPr>
      </w:pPr>
      <w:r>
        <w:rPr>
          <w:rFonts w:ascii="宋体" w:hAnsi="宋体" w:cs="宋体" w:hint="eastAsia"/>
          <w:color w:val="auto"/>
          <w:sz w:val="24"/>
        </w:rPr>
        <w:t>如本单位（公司）违反上款承诺,愿承担由此引起的一切法律责任。</w:t>
      </w:r>
    </w:p>
    <w:p>
      <w:pPr>
        <w:tabs>
          <w:tab w:val="center" w:pos="5010"/>
        </w:tabs>
        <w:spacing w:line="360" w:lineRule="auto"/>
        <w:ind w:firstLine="840" w:firstLineChars="400"/>
        <w:rPr>
          <w:rFonts w:ascii="宋体" w:hAnsi="宋体" w:cs="宋体"/>
          <w:sz w:val="24"/>
        </w:rPr>
      </w:pPr>
      <w:r>
        <w:rPr>
          <w:rFonts w:ascii="宋体" w:hAnsi="宋体" w:cs="宋体" w:hint="eastAsia"/>
          <w:color w:val="auto"/>
          <w:sz w:val="24"/>
        </w:rPr>
        <w:t>特此承诺!</w:t>
      </w:r>
      <w:r>
        <w:rPr>
          <w:rFonts w:ascii="宋体" w:hAnsi="宋体" w:cs="宋体" w:hint="eastAsia"/>
          <w:color w:val="auto"/>
          <w:sz w:val="24"/>
        </w:rPr>
        <w:tab/>
      </w:r>
    </w:p>
    <w:p>
      <w:pPr>
        <w:spacing w:line="360" w:lineRule="auto"/>
        <w:ind w:firstLine="840" w:firstLineChars="400"/>
        <w:rPr>
          <w:rFonts w:ascii="宋体" w:hAnsi="宋体" w:cs="宋体"/>
          <w:sz w:val="24"/>
        </w:rPr>
      </w:pPr>
    </w:p>
    <w:p>
      <w:pPr>
        <w:spacing w:line="360" w:lineRule="auto"/>
        <w:ind w:left="315"/>
        <w:jc w:val="left"/>
        <w:rPr>
          <w:rFonts w:ascii="宋体" w:hAnsi="宋体" w:cs="宋体"/>
          <w:sz w:val="24"/>
        </w:rPr>
      </w:pPr>
      <w:r>
        <w:rPr>
          <w:rFonts w:ascii="宋体" w:hAnsi="宋体" w:cs="宋体" w:hint="eastAsia"/>
          <w:sz w:val="24"/>
        </w:rPr>
        <w:t>投标人地址:</w:t>
      </w:r>
    </w:p>
    <w:p>
      <w:pPr>
        <w:spacing w:line="360" w:lineRule="auto"/>
        <w:ind w:left="315"/>
        <w:jc w:val="left"/>
        <w:rPr>
          <w:rFonts w:ascii="宋体" w:hAnsi="宋体" w:cs="宋体"/>
          <w:sz w:val="24"/>
        </w:rPr>
      </w:pPr>
      <w:r>
        <w:rPr>
          <w:rFonts w:ascii="宋体" w:hAnsi="宋体" w:cs="宋体" w:hint="eastAsia"/>
          <w:sz w:val="24"/>
        </w:rPr>
        <w:t>电话:</w:t>
      </w:r>
    </w:p>
    <w:p>
      <w:pPr>
        <w:spacing w:line="360" w:lineRule="auto"/>
        <w:ind w:left="315"/>
        <w:jc w:val="left"/>
        <w:rPr>
          <w:rFonts w:ascii="宋体" w:hAnsi="宋体" w:cs="宋体"/>
          <w:sz w:val="24"/>
        </w:rPr>
      </w:pPr>
      <w:r>
        <w:rPr>
          <w:rFonts w:ascii="宋体" w:hAnsi="宋体" w:cs="宋体" w:hint="eastAsia"/>
          <w:sz w:val="24"/>
        </w:rPr>
        <w:t>传真:</w:t>
      </w:r>
    </w:p>
    <w:p>
      <w:pPr>
        <w:jc w:val="center"/>
        <w:rPr>
          <w:rFonts w:ascii="宋体" w:hAnsi="宋体" w:cs="宋体"/>
          <w:b/>
          <w:sz w:val="24"/>
        </w:rPr>
      </w:pPr>
      <w:r>
        <w:rPr>
          <w:rFonts w:ascii="宋体" w:hAnsi="宋体" w:cs="宋体" w:hint="eastAsia"/>
          <w:b/>
          <w:sz w:val="24"/>
        </w:rPr>
        <w:t>采购代理服务费发票开具须知</w:t>
      </w:r>
    </w:p>
    <w:tbl>
      <w:tblPr>
        <w:tblStyle w:val="TableNormal"/>
        <w:tblW w:w="92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108" w:type="dxa"/>
          <w:bottom w:w="0" w:type="dxa"/>
          <w:right w:w="108" w:type="dxa"/>
        </w:tblCellMar>
      </w:tblPr>
      <w:tblGrid>
        <w:gridCol w:w="5009"/>
        <w:gridCol w:w="2088"/>
        <w:gridCol w:w="2191"/>
      </w:tblGrid>
      <w:tr>
        <w:tblPrEx>
          <w:tblW w:w="92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108" w:type="dxa"/>
            <w:bottom w:w="0" w:type="dxa"/>
            <w:right w:w="108" w:type="dxa"/>
          </w:tblCellMar>
        </w:tblPrEx>
        <w:trPr>
          <w:trHeight w:val="568"/>
        </w:trPr>
        <w:tc>
          <w:tcPr>
            <w:tcW w:w="5009" w:type="dxa"/>
            <w:tcBorders>
              <w:top w:val="single" w:sz="12" w:space="0" w:color="auto"/>
              <w:left w:val="single" w:sz="12" w:space="0" w:color="auto"/>
              <w:bottom w:val="single" w:sz="12" w:space="0" w:color="auto"/>
            </w:tcBorders>
            <w:vAlign w:val="center"/>
          </w:tcPr>
          <w:p>
            <w:pPr>
              <w:adjustRightInd w:val="0"/>
              <w:snapToGrid w:val="0"/>
              <w:jc w:val="center"/>
              <w:rPr>
                <w:rFonts w:ascii="宋体" w:hAnsi="宋体" w:cs="宋体"/>
                <w:b/>
                <w:sz w:val="24"/>
              </w:rPr>
            </w:pPr>
            <w:r>
              <w:rPr>
                <w:rFonts w:ascii="宋体" w:hAnsi="宋体" w:cs="宋体" w:hint="eastAsia"/>
                <w:b/>
                <w:sz w:val="24"/>
              </w:rPr>
              <w:t>发票类型</w:t>
            </w:r>
          </w:p>
          <w:p>
            <w:pPr>
              <w:adjustRightInd w:val="0"/>
              <w:snapToGrid w:val="0"/>
              <w:jc w:val="center"/>
              <w:rPr>
                <w:rFonts w:ascii="宋体" w:hAnsi="宋体" w:cs="宋体"/>
                <w:b/>
                <w:sz w:val="24"/>
              </w:rPr>
            </w:pPr>
            <w:r>
              <w:rPr>
                <w:rFonts w:ascii="宋体" w:hAnsi="宋体" w:cs="宋体" w:hint="eastAsia"/>
                <w:b/>
                <w:sz w:val="24"/>
              </w:rPr>
              <w:t>（请在对应的“□”打“√”，且只能选择其中一项）</w:t>
            </w:r>
          </w:p>
        </w:tc>
        <w:tc>
          <w:tcPr>
            <w:tcW w:w="2088" w:type="dxa"/>
            <w:tcBorders>
              <w:top w:val="single" w:sz="12" w:space="0" w:color="auto"/>
              <w:bottom w:val="single" w:sz="12" w:space="0" w:color="auto"/>
            </w:tcBorders>
            <w:vAlign w:val="center"/>
          </w:tcPr>
          <w:p>
            <w:pPr>
              <w:adjustRightInd w:val="0"/>
              <w:snapToGrid w:val="0"/>
              <w:jc w:val="center"/>
              <w:rPr>
                <w:rFonts w:ascii="宋体" w:hAnsi="宋体" w:cs="宋体"/>
                <w:b/>
                <w:i/>
                <w:sz w:val="24"/>
              </w:rPr>
            </w:pPr>
            <w:r>
              <w:rPr>
                <w:rFonts w:ascii="宋体" w:hAnsi="宋体" w:cs="宋体" w:hint="eastAsia"/>
                <w:b/>
                <w:sz w:val="24"/>
              </w:rPr>
              <w:t>□增值税普通发票</w:t>
            </w:r>
          </w:p>
        </w:tc>
        <w:tc>
          <w:tcPr>
            <w:tcW w:w="2191" w:type="dxa"/>
            <w:tcBorders>
              <w:top w:val="single" w:sz="12" w:space="0" w:color="auto"/>
              <w:bottom w:val="single" w:sz="12" w:space="0" w:color="auto"/>
              <w:right w:val="single" w:sz="12" w:space="0" w:color="auto"/>
            </w:tcBorders>
            <w:vAlign w:val="center"/>
          </w:tcPr>
          <w:p>
            <w:pPr>
              <w:adjustRightInd w:val="0"/>
              <w:snapToGrid w:val="0"/>
              <w:jc w:val="center"/>
              <w:rPr>
                <w:rFonts w:ascii="宋体" w:hAnsi="宋体" w:cs="宋体"/>
                <w:b/>
                <w:sz w:val="24"/>
              </w:rPr>
            </w:pPr>
            <w:r>
              <w:rPr>
                <w:rFonts w:ascii="宋体" w:hAnsi="宋体" w:cs="宋体" w:hint="eastAsia"/>
                <w:b/>
                <w:sz w:val="24"/>
              </w:rPr>
              <w:t>□增值税专用发票</w:t>
            </w:r>
          </w:p>
        </w:tc>
      </w:tr>
      <w:tr>
        <w:tblPrEx>
          <w:tblW w:w="9288" w:type="dxa"/>
          <w:tblInd w:w="108" w:type="dxa"/>
          <w:tblLayout w:type="fixed"/>
          <w:tblCellMar>
            <w:top w:w="0" w:type="dxa"/>
            <w:left w:w="108" w:type="dxa"/>
            <w:bottom w:w="0" w:type="dxa"/>
            <w:right w:w="108" w:type="dxa"/>
          </w:tblCellMar>
        </w:tblPrEx>
        <w:trPr>
          <w:trHeight w:val="900"/>
        </w:trPr>
        <w:tc>
          <w:tcPr>
            <w:tcW w:w="9288" w:type="dxa"/>
            <w:gridSpan w:val="3"/>
            <w:tcBorders>
              <w:top w:val="single" w:sz="12" w:space="0" w:color="auto"/>
              <w:left w:val="single" w:sz="12" w:space="0" w:color="auto"/>
              <w:bottom w:val="single" w:sz="12" w:space="0" w:color="auto"/>
              <w:right w:val="single" w:sz="12" w:space="0" w:color="auto"/>
            </w:tcBorders>
          </w:tcPr>
          <w:p>
            <w:pPr>
              <w:adjustRightInd w:val="0"/>
              <w:snapToGrid w:val="0"/>
              <w:rPr>
                <w:rFonts w:ascii="宋体" w:hAnsi="宋体" w:cs="宋体"/>
                <w:b/>
                <w:sz w:val="24"/>
              </w:rPr>
            </w:pPr>
            <w:r>
              <w:rPr>
                <w:rFonts w:ascii="宋体" w:hAnsi="宋体" w:cs="宋体" w:hint="eastAsia"/>
                <w:b/>
                <w:sz w:val="24"/>
              </w:rPr>
              <w:t>如选择“增值税专用发票”，则投标时必须提供以下资料信息：</w:t>
            </w:r>
          </w:p>
          <w:p>
            <w:pPr>
              <w:adjustRightInd w:val="0"/>
              <w:snapToGrid w:val="0"/>
              <w:rPr>
                <w:rFonts w:ascii="宋体" w:hAnsi="宋体" w:cs="宋体"/>
                <w:sz w:val="24"/>
              </w:rPr>
            </w:pPr>
            <w:r>
              <w:rPr>
                <w:rFonts w:ascii="宋体" w:hAnsi="宋体" w:cs="宋体" w:hint="eastAsia"/>
                <w:sz w:val="24"/>
              </w:rPr>
              <w:t xml:space="preserve">1、一般纳税人资格认定税务通知书或其他可证明具有该项资格证明文件的扫描件； </w:t>
            </w:r>
          </w:p>
          <w:p>
            <w:pPr>
              <w:adjustRightInd w:val="0"/>
              <w:snapToGrid w:val="0"/>
              <w:rPr>
                <w:rFonts w:ascii="宋体" w:hAnsi="宋体" w:cs="宋体"/>
                <w:sz w:val="24"/>
              </w:rPr>
            </w:pPr>
            <w:r>
              <w:rPr>
                <w:rFonts w:ascii="宋体" w:hAnsi="宋体" w:cs="宋体" w:hint="eastAsia"/>
                <w:sz w:val="24"/>
              </w:rPr>
              <w:t>2、客户的开票资料（单位名称、纳税人识别号、地址、电话、开户行全称及账号）。</w:t>
            </w:r>
          </w:p>
        </w:tc>
      </w:tr>
    </w:tbl>
    <w:p>
      <w:pPr>
        <w:pStyle w:val="NormalWeb"/>
        <w:shd w:val="clear" w:color="auto" w:fill="FFFFFF"/>
        <w:adjustRightInd w:val="0"/>
        <w:snapToGrid w:val="0"/>
        <w:spacing w:before="0" w:beforeAutospacing="0" w:after="0" w:afterAutospacing="0"/>
        <w:ind w:left="150" w:right="150"/>
        <w:jc w:val="center"/>
        <w:rPr>
          <w:rFonts w:cs="宋体"/>
          <w:color w:val="000000"/>
        </w:rPr>
      </w:pPr>
      <w:r>
        <w:rPr>
          <w:rFonts w:cs="宋体" w:hint="eastAsia"/>
          <w:color w:val="000000"/>
        </w:rPr>
        <w:t>温馨提示</w:t>
      </w:r>
    </w:p>
    <w:p>
      <w:pPr>
        <w:numPr>
          <w:ilvl w:val="0"/>
          <w:numId w:val="78"/>
        </w:numPr>
        <w:adjustRightInd w:val="0"/>
        <w:snapToGrid w:val="0"/>
        <w:rPr>
          <w:rFonts w:ascii="宋体" w:hAnsi="宋体" w:cs="宋体"/>
          <w:bCs/>
          <w:color w:val="000000"/>
          <w:sz w:val="24"/>
        </w:rPr>
      </w:pPr>
      <w:r>
        <w:rPr>
          <w:rFonts w:ascii="宋体" w:hAnsi="宋体" w:cs="宋体" w:hint="eastAsia"/>
          <w:bCs/>
          <w:color w:val="000000"/>
          <w:sz w:val="24"/>
        </w:rPr>
        <w:t>投标时，投标人必须确认“缴纳采购代理服务费”开具的发票类型。</w:t>
      </w:r>
    </w:p>
    <w:p>
      <w:pPr>
        <w:numPr>
          <w:ilvl w:val="0"/>
          <w:numId w:val="78"/>
        </w:numPr>
        <w:adjustRightInd w:val="0"/>
        <w:snapToGrid w:val="0"/>
        <w:rPr>
          <w:rFonts w:ascii="宋体" w:hAnsi="宋体" w:cs="宋体"/>
          <w:bCs/>
          <w:sz w:val="24"/>
        </w:rPr>
      </w:pPr>
      <w:r>
        <w:rPr>
          <w:rFonts w:ascii="宋体" w:hAnsi="宋体" w:cs="宋体" w:hint="eastAsia"/>
          <w:bCs/>
          <w:color w:val="000000"/>
          <w:sz w:val="24"/>
        </w:rPr>
        <w:t>投标人中标后，我司将按该投标人所递交的投标文件中《采购代理服务费承诺书》确认的发票类</w:t>
      </w:r>
      <w:r>
        <w:rPr>
          <w:rFonts w:ascii="宋体" w:hAnsi="宋体" w:cs="宋体" w:hint="eastAsia"/>
          <w:bCs/>
          <w:sz w:val="24"/>
        </w:rPr>
        <w:t>型作为开具发票类型的依据；若投标人投标时未确认，则视为开具增值税普通发票。</w:t>
      </w:r>
    </w:p>
    <w:p>
      <w:pPr>
        <w:numPr>
          <w:ilvl w:val="0"/>
          <w:numId w:val="78"/>
        </w:numPr>
        <w:adjustRightInd w:val="0"/>
        <w:snapToGrid w:val="0"/>
        <w:rPr>
          <w:rFonts w:ascii="宋体" w:hAnsi="宋体" w:cs="宋体"/>
          <w:sz w:val="24"/>
        </w:rPr>
      </w:pPr>
      <w:r>
        <w:rPr>
          <w:rFonts w:ascii="宋体" w:hAnsi="宋体" w:cs="宋体" w:hint="eastAsia"/>
          <w:bCs/>
          <w:sz w:val="24"/>
        </w:rPr>
        <w:t>因投标人投标时确认的</w:t>
      </w:r>
      <w:r>
        <w:rPr>
          <w:rFonts w:ascii="宋体" w:hAnsi="宋体" w:cs="宋体" w:hint="eastAsia"/>
          <w:sz w:val="24"/>
        </w:rPr>
        <w:t>发票类型有误或未确认，我司将不予更换发票类型</w:t>
      </w:r>
      <w:r>
        <w:rPr>
          <w:rFonts w:ascii="宋体" w:hAnsi="宋体" w:cs="宋体" w:hint="eastAsia"/>
          <w:bCs/>
          <w:sz w:val="24"/>
        </w:rPr>
        <w:t>。</w:t>
      </w:r>
    </w:p>
    <w:p>
      <w:pPr>
        <w:rPr>
          <w:rFonts w:ascii="宋体" w:hAnsi="宋体" w:cs="宋体"/>
          <w:sz w:val="24"/>
        </w:rPr>
      </w:pPr>
    </w:p>
    <w:p>
      <w:pPr>
        <w:spacing w:line="440" w:lineRule="exact"/>
        <w:rPr>
          <w:rFonts w:ascii="宋体" w:hAnsi="宋体" w:cs="宋体"/>
          <w:sz w:val="24"/>
        </w:rPr>
      </w:pPr>
    </w:p>
    <w:p>
      <w:pPr>
        <w:widowControl/>
        <w:jc w:val="left"/>
        <w:rPr>
          <w:rFonts w:ascii="宋体" w:hAnsi="宋体" w:cs="宋体"/>
          <w:bCs/>
          <w:sz w:val="24"/>
        </w:rPr>
      </w:pPr>
      <w:bookmarkStart w:id="246" w:name="_Toc275865626"/>
      <w:bookmarkStart w:id="247" w:name="_Toc435515318"/>
      <w:bookmarkStart w:id="248" w:name="_Toc435514878"/>
      <w:bookmarkStart w:id="249" w:name="_Toc173553195"/>
      <w:r>
        <w:rPr>
          <w:rFonts w:ascii="宋体" w:hAnsi="宋体" w:cs="宋体" w:hint="eastAsia"/>
          <w:b/>
          <w:sz w:val="24"/>
        </w:rPr>
        <w:br w:type="page"/>
      </w:r>
    </w:p>
    <w:p>
      <w:pPr>
        <w:pStyle w:val="Heading2"/>
        <w:numPr>
          <w:ilvl w:val="0"/>
          <w:numId w:val="72"/>
        </w:numPr>
        <w:spacing w:line="240" w:lineRule="auto"/>
        <w:jc w:val="center"/>
        <w:rPr>
          <w:b w:val="0"/>
        </w:rPr>
      </w:pPr>
      <w:bookmarkEnd w:id="246"/>
      <w:bookmarkEnd w:id="247"/>
      <w:bookmarkEnd w:id="248"/>
      <w:bookmarkEnd w:id="249"/>
      <w:bookmarkStart w:id="250" w:name="_Toc9719"/>
      <w:bookmarkStart w:id="251" w:name="_Toc30664894"/>
      <w:bookmarkStart w:id="252" w:name="_Toc1468"/>
      <w:bookmarkStart w:id="253" w:name="_Toc256000044"/>
      <w:r>
        <w:rPr>
          <w:rFonts w:hint="eastAsia"/>
          <w:b w:val="0"/>
        </w:rPr>
        <w:t>投标人认为需要加以说明的其他内容</w:t>
      </w:r>
      <w:bookmarkEnd w:id="253"/>
      <w:bookmarkEnd w:id="250"/>
      <w:bookmarkEnd w:id="251"/>
      <w:bookmarkEnd w:id="252"/>
    </w:p>
    <w:p>
      <w:pPr>
        <w:widowControl/>
        <w:jc w:val="left"/>
      </w:pPr>
    </w:p>
    <w:p>
      <w:pPr>
        <w:widowControl/>
        <w:jc w:val="left"/>
        <w:rPr>
          <w:rFonts w:ascii="宋体" w:hAnsi="宋体"/>
          <w:b/>
          <w:bCs/>
          <w:sz w:val="44"/>
        </w:rPr>
      </w:pPr>
    </w:p>
    <w:p/>
    <w:p>
      <w:pPr>
        <w:widowControl/>
        <w:jc w:val="left"/>
        <w:rPr>
          <w:rFonts w:ascii="宋体" w:hAnsi="宋体"/>
          <w:b/>
          <w:bCs/>
          <w:sz w:val="44"/>
        </w:rPr>
      </w:pPr>
    </w:p>
    <w:p>
      <w:pPr>
        <w:widowControl/>
        <w:jc w:val="left"/>
        <w:rPr>
          <w:rFonts w:ascii="宋体" w:hAnsi="宋体"/>
          <w:b/>
          <w:bCs/>
          <w:sz w:val="44"/>
        </w:rPr>
      </w:pPr>
    </w:p>
    <w:p>
      <w:pPr>
        <w:widowControl/>
        <w:jc w:val="left"/>
      </w:pPr>
    </w:p>
    <w:p/>
    <w:p>
      <w:pPr>
        <w:tabs>
          <w:tab w:val="left" w:pos="426"/>
        </w:tabs>
        <w:autoSpaceDE w:val="0"/>
        <w:autoSpaceDN w:val="0"/>
        <w:adjustRightInd w:val="0"/>
        <w:spacing w:line="360" w:lineRule="auto"/>
        <w:ind w:left="505"/>
        <w:jc w:val="center"/>
        <w:outlineLvl w:val="3"/>
      </w:pPr>
      <w:r>
        <w:rPr>
          <w:rFonts w:hint="eastAsia"/>
          <w:b/>
          <w:sz w:val="24"/>
        </w:rPr>
        <w:t>（信息公开部分的内容到此为止！往下为信息不公开部分。）</w:t>
      </w:r>
    </w:p>
    <w:p>
      <w:bookmarkStart w:id="254" w:name="_Toc24852"/>
      <w:bookmarkStart w:id="255" w:name="_Toc52165081"/>
      <w:bookmarkStart w:id="256" w:name="_Toc435514859"/>
      <w:bookmarkStart w:id="257" w:name="_Toc50737329"/>
      <w:bookmarkStart w:id="258" w:name="_Toc30664879"/>
      <w:bookmarkStart w:id="259" w:name="_Toc50736477"/>
      <w:bookmarkStart w:id="260" w:name="_Toc275865607"/>
      <w:bookmarkStart w:id="261" w:name="_Toc50737297"/>
      <w:bookmarkStart w:id="262" w:name="_Toc435515299"/>
      <w:bookmarkStart w:id="263" w:name="_Toc50736476"/>
      <w:bookmarkStart w:id="264" w:name="_Toc50691034"/>
      <w:bookmarkStart w:id="265" w:name="_Toc50737328"/>
      <w:bookmarkStart w:id="266" w:name="_Toc52165080"/>
      <w:bookmarkStart w:id="267" w:name="_Toc50737296"/>
      <w:r>
        <w:rPr>
          <w:rFonts w:hint="eastAsia"/>
        </w:rPr>
        <w:br w:type="page"/>
      </w:r>
    </w:p>
    <w:p>
      <w:pPr>
        <w:pStyle w:val="Heading2"/>
        <w:numPr>
          <w:ilvl w:val="0"/>
          <w:numId w:val="72"/>
        </w:numPr>
        <w:spacing w:line="240" w:lineRule="auto"/>
        <w:jc w:val="center"/>
      </w:pPr>
      <w:bookmarkStart w:id="268" w:name="_Toc30334"/>
      <w:bookmarkStart w:id="269" w:name="_Toc256000045"/>
      <w:r>
        <w:rPr>
          <w:rFonts w:hint="eastAsia"/>
          <w:b w:val="0"/>
        </w:rPr>
        <w:t>法定代表人证明书</w:t>
      </w:r>
      <w:bookmarkEnd w:id="269"/>
      <w:bookmarkEnd w:id="268"/>
    </w:p>
    <w:p>
      <w:pPr>
        <w:jc w:val="center"/>
        <w:rPr>
          <w:sz w:val="36"/>
          <w:szCs w:val="36"/>
        </w:rPr>
      </w:pPr>
      <w:r>
        <w:rPr>
          <w:rFonts w:ascii="宋体" w:hAnsi="宋体" w:hint="eastAsia"/>
          <w:b/>
          <w:sz w:val="36"/>
          <w:szCs w:val="36"/>
        </w:rPr>
        <w:t>（非信息公开部分）</w:t>
      </w:r>
    </w:p>
    <w:p/>
    <w:p>
      <w:pPr>
        <w:tabs>
          <w:tab w:val="left" w:pos="900"/>
        </w:tabs>
        <w:spacing w:line="480" w:lineRule="auto"/>
        <w:ind w:firstLine="945" w:firstLineChars="450"/>
        <w:rPr>
          <w:rFonts w:ascii="宋体" w:hAnsi="宋体"/>
          <w:sz w:val="24"/>
        </w:rPr>
      </w:pPr>
      <w:r>
        <w:rPr>
          <w:rFonts w:ascii="宋体" w:hAnsi="宋体" w:hint="eastAsia"/>
          <w:sz w:val="24"/>
        </w:rPr>
        <w:t>______________同志，现任我单位职务，为法定代表人，特此证明。</w:t>
      </w:r>
    </w:p>
    <w:p>
      <w:pPr>
        <w:spacing w:line="360" w:lineRule="auto"/>
        <w:ind w:firstLine="420" w:firstLineChars="200"/>
        <w:rPr>
          <w:rFonts w:ascii="宋体" w:hAnsi="宋体"/>
          <w:sz w:val="24"/>
        </w:rPr>
      </w:pPr>
      <w:r>
        <w:rPr>
          <w:rFonts w:ascii="宋体" w:hint="eastAsia"/>
          <w:sz w:val="24"/>
        </w:rPr>
        <w:t>本证明书自签发之日起生效，</w:t>
      </w:r>
      <w:r>
        <w:rPr>
          <w:rFonts w:ascii="宋体" w:hAnsi="宋体" w:hint="eastAsia"/>
          <w:sz w:val="24"/>
        </w:rPr>
        <w:t>有效期与本公司投标文件中标注的投标有效期相同。</w:t>
      </w:r>
    </w:p>
    <w:p>
      <w:pPr>
        <w:spacing w:line="480" w:lineRule="auto"/>
        <w:ind w:firstLine="420" w:firstLineChars="200"/>
        <w:rPr>
          <w:rFonts w:ascii="宋体" w:hAnsi="宋体"/>
          <w:sz w:val="24"/>
        </w:rPr>
      </w:pPr>
      <w:r>
        <w:rPr>
          <w:rFonts w:ascii="宋体" w:hAnsi="宋体" w:hint="eastAsia"/>
          <w:sz w:val="24"/>
        </w:rPr>
        <w:t>附：</w:t>
      </w:r>
    </w:p>
    <w:p>
      <w:pPr>
        <w:spacing w:line="480" w:lineRule="auto"/>
        <w:ind w:firstLine="840" w:firstLineChars="400"/>
        <w:rPr>
          <w:rFonts w:ascii="宋体" w:hAnsi="宋体"/>
          <w:sz w:val="24"/>
        </w:rPr>
      </w:pPr>
      <w:r>
        <w:rPr>
          <w:rFonts w:ascii="宋体" w:hAnsi="宋体" w:hint="eastAsia"/>
          <w:sz w:val="24"/>
        </w:rPr>
        <w:t xml:space="preserve">营业执照（统一社会信用代码）：                       </w:t>
      </w:r>
    </w:p>
    <w:p>
      <w:pPr>
        <w:spacing w:line="480" w:lineRule="auto"/>
        <w:ind w:firstLine="840" w:firstLineChars="400"/>
        <w:rPr>
          <w:rFonts w:ascii="宋体" w:hAnsi="宋体"/>
          <w:sz w:val="24"/>
        </w:rPr>
      </w:pPr>
      <w:r>
        <w:rPr>
          <w:rFonts w:ascii="宋体" w:hAnsi="宋体" w:hint="eastAsia"/>
          <w:sz w:val="24"/>
        </w:rPr>
        <w:t>经济性质：</w:t>
      </w:r>
    </w:p>
    <w:p>
      <w:pPr>
        <w:spacing w:line="480" w:lineRule="auto"/>
        <w:ind w:firstLine="840" w:firstLineChars="400"/>
        <w:rPr>
          <w:rFonts w:ascii="宋体" w:hAnsi="宋体"/>
          <w:sz w:val="24"/>
        </w:rPr>
      </w:pPr>
      <w:r>
        <w:rPr>
          <w:rFonts w:ascii="宋体" w:hAnsi="宋体" w:hint="eastAsia"/>
          <w:sz w:val="24"/>
        </w:rPr>
        <w:t>主营（产）：</w:t>
      </w:r>
    </w:p>
    <w:p>
      <w:pPr>
        <w:spacing w:line="480" w:lineRule="auto"/>
        <w:ind w:firstLine="840" w:firstLineChars="400"/>
        <w:rPr>
          <w:rFonts w:ascii="宋体" w:hAnsi="宋体"/>
          <w:sz w:val="24"/>
        </w:rPr>
      </w:pPr>
      <w:r>
        <w:rPr>
          <w:rFonts w:ascii="宋体" w:hAnsi="宋体" w:hint="eastAsia"/>
          <w:sz w:val="24"/>
        </w:rPr>
        <w:t>兼营（产）：</w:t>
      </w:r>
    </w:p>
    <w:p>
      <w:pPr>
        <w:spacing w:line="360" w:lineRule="auto"/>
        <w:ind w:firstLine="210" w:firstLineChars="100"/>
        <w:rPr>
          <w:rFonts w:ascii="宋体"/>
          <w:sz w:val="24"/>
        </w:rPr>
      </w:pPr>
      <w:r>
        <w:rPr>
          <w:rFonts w:ascii="宋体" w:hint="eastAsia"/>
          <w:sz w:val="24"/>
        </w:rPr>
        <w:t>提供法定代表人居民身份证（正反面）扫描件：</w:t>
      </w:r>
    </w:p>
    <w:p>
      <w:pPr>
        <w:spacing w:line="360" w:lineRule="auto"/>
        <w:rPr>
          <w:rFonts w:ascii="宋体"/>
          <w:sz w:val="24"/>
        </w:rPr>
      </w:pPr>
    </w:p>
    <w:p>
      <w:pPr>
        <w:spacing w:line="360" w:lineRule="auto"/>
        <w:rPr>
          <w:rFonts w:ascii="宋体"/>
          <w:sz w:val="24"/>
        </w:rPr>
      </w:pPr>
    </w:p>
    <w:p>
      <w:pPr>
        <w:spacing w:line="500" w:lineRule="exact"/>
        <w:rPr>
          <w:rFonts w:ascii="宋体"/>
          <w:b/>
          <w:bCs/>
          <w:sz w:val="24"/>
        </w:rPr>
      </w:pPr>
    </w:p>
    <w:p>
      <w:pPr>
        <w:spacing w:line="500" w:lineRule="exact"/>
        <w:rPr>
          <w:rFonts w:ascii="宋体"/>
          <w:b/>
          <w:bCs/>
          <w:sz w:val="24"/>
        </w:rPr>
      </w:pPr>
    </w:p>
    <w:p>
      <w:pPr>
        <w:widowControl/>
        <w:jc w:val="left"/>
      </w:pPr>
      <w:r>
        <w:rPr>
          <w:rFonts w:ascii="宋体" w:hAnsi="宋体"/>
          <w:sz w:val="24"/>
        </w:rPr>
        <w:br w:type="page"/>
      </w:r>
    </w:p>
    <w:p>
      <w:pPr>
        <w:pStyle w:val="Heading2"/>
        <w:numPr>
          <w:ilvl w:val="0"/>
          <w:numId w:val="72"/>
        </w:numPr>
        <w:spacing w:line="240" w:lineRule="auto"/>
        <w:jc w:val="center"/>
      </w:pPr>
      <w:bookmarkStart w:id="270" w:name="_Toc29657"/>
      <w:bookmarkStart w:id="271" w:name="_Toc256000046"/>
      <w:r>
        <w:rPr>
          <w:rFonts w:hint="eastAsia"/>
          <w:b w:val="0"/>
        </w:rPr>
        <w:t>法定代表人授权委托书</w:t>
      </w:r>
      <w:bookmarkEnd w:id="271"/>
      <w:bookmarkEnd w:id="254"/>
      <w:bookmarkEnd w:id="255"/>
      <w:bookmarkEnd w:id="256"/>
      <w:bookmarkEnd w:id="257"/>
      <w:bookmarkEnd w:id="258"/>
      <w:bookmarkEnd w:id="259"/>
      <w:bookmarkEnd w:id="260"/>
      <w:bookmarkEnd w:id="261"/>
      <w:bookmarkEnd w:id="262"/>
      <w:bookmarkEnd w:id="270"/>
    </w:p>
    <w:p>
      <w:pPr>
        <w:jc w:val="center"/>
        <w:rPr>
          <w:sz w:val="36"/>
          <w:szCs w:val="36"/>
        </w:rPr>
      </w:pPr>
      <w:r>
        <w:rPr>
          <w:rFonts w:ascii="宋体" w:hAnsi="宋体" w:hint="eastAsia"/>
          <w:b/>
          <w:sz w:val="36"/>
          <w:szCs w:val="36"/>
        </w:rPr>
        <w:t>（非信息公开部分）</w:t>
      </w:r>
    </w:p>
    <w:p>
      <w:pPr>
        <w:pStyle w:val="PlainText"/>
        <w:spacing w:line="360" w:lineRule="auto"/>
        <w:ind w:firstLine="420" w:firstLineChars="200"/>
        <w:rPr>
          <w:color w:val="auto"/>
          <w:sz w:val="24"/>
          <w:szCs w:val="24"/>
        </w:rPr>
      </w:pPr>
      <w:r>
        <w:rPr>
          <w:rFonts w:hint="eastAsia"/>
          <w:sz w:val="24"/>
          <w:szCs w:val="24"/>
        </w:rPr>
        <w:t>本授权委托书声明：注册于</w:t>
      </w:r>
      <w:r>
        <w:rPr>
          <w:rFonts w:hint="eastAsia"/>
          <w:sz w:val="24"/>
          <w:szCs w:val="24"/>
          <w:u w:val="single"/>
        </w:rPr>
        <w:t xml:space="preserve"> （投标人地址）  </w:t>
      </w:r>
      <w:r>
        <w:rPr>
          <w:rFonts w:hint="eastAsia"/>
          <w:sz w:val="24"/>
          <w:szCs w:val="24"/>
        </w:rPr>
        <w:t>的</w:t>
      </w:r>
      <w:r>
        <w:rPr>
          <w:rFonts w:hint="eastAsia"/>
          <w:sz w:val="24"/>
          <w:szCs w:val="24"/>
          <w:u w:val="single"/>
        </w:rPr>
        <w:t xml:space="preserve">  （投标人名称）    </w:t>
      </w:r>
      <w:r>
        <w:rPr>
          <w:rFonts w:hint="eastAsia"/>
          <w:sz w:val="24"/>
          <w:szCs w:val="24"/>
        </w:rPr>
        <w:t>的</w:t>
      </w:r>
      <w:r>
        <w:rPr>
          <w:rFonts w:hint="eastAsia"/>
          <w:sz w:val="24"/>
          <w:szCs w:val="24"/>
          <w:u w:val="single"/>
        </w:rPr>
        <w:t>（法定代表人姓名、职务、手机号码</w:t>
      </w:r>
      <w:r>
        <w:rPr>
          <w:rFonts w:hint="eastAsia"/>
          <w:color w:val="auto"/>
          <w:sz w:val="24"/>
          <w:szCs w:val="24"/>
          <w:u w:val="single"/>
        </w:rPr>
        <w:t>）</w:t>
      </w:r>
      <w:r>
        <w:rPr>
          <w:rFonts w:hint="eastAsia"/>
          <w:color w:val="auto"/>
          <w:sz w:val="24"/>
          <w:szCs w:val="24"/>
        </w:rPr>
        <w:t>在此授权</w:t>
      </w:r>
      <w:r>
        <w:rPr>
          <w:rFonts w:hint="eastAsia"/>
          <w:color w:val="auto"/>
          <w:sz w:val="24"/>
          <w:szCs w:val="24"/>
          <w:u w:val="single"/>
        </w:rPr>
        <w:t>（被授权人姓名、职务、手机号码）</w:t>
      </w:r>
      <w:r>
        <w:rPr>
          <w:rFonts w:hint="eastAsia"/>
          <w:color w:val="auto"/>
          <w:sz w:val="24"/>
          <w:szCs w:val="24"/>
        </w:rPr>
        <w:t>作为本单位（公司）的合法代理人，就</w:t>
      </w:r>
      <w:r>
        <w:rPr>
          <w:rFonts w:hint="eastAsia"/>
          <w:color w:val="auto"/>
          <w:sz w:val="24"/>
          <w:szCs w:val="24"/>
          <w:u w:val="single"/>
        </w:rPr>
        <w:t>（</w:t>
      </w:r>
      <w:r>
        <w:rPr>
          <w:rFonts w:asciiTheme="minorEastAsia" w:hAnsiTheme="minorEastAsia" w:hint="eastAsia"/>
          <w:color w:val="auto"/>
          <w:sz w:val="24"/>
          <w:u w:val="single"/>
          <w:lang w:eastAsia="zh-CN"/>
        </w:rPr>
        <w:t>2023-2024年基准年碳核查全流程技术支持服务</w:t>
      </w:r>
      <w:r>
        <w:rPr>
          <w:rFonts w:hint="eastAsia"/>
          <w:color w:val="auto"/>
          <w:sz w:val="24"/>
          <w:szCs w:val="24"/>
          <w:u w:val="single"/>
        </w:rPr>
        <w:t>、</w:t>
      </w:r>
      <w:r>
        <w:rPr>
          <w:rFonts w:hint="eastAsia"/>
          <w:color w:val="auto"/>
          <w:sz w:val="24"/>
          <w:szCs w:val="24"/>
          <w:u w:val="single"/>
          <w:lang w:eastAsia="zh-CN"/>
        </w:rPr>
        <w:t>SZDL2022002374（CLF0122SZ17ZC77）</w:t>
      </w:r>
      <w:r>
        <w:rPr>
          <w:rFonts w:hint="eastAsia"/>
          <w:color w:val="auto"/>
          <w:sz w:val="24"/>
          <w:szCs w:val="24"/>
        </w:rPr>
        <w:t>）的招投标活动，采购合同的签订、执行、完成和售后服务，作为投标人代表以我方的名义处理一切与之有关的事务。</w:t>
      </w:r>
    </w:p>
    <w:p>
      <w:pPr>
        <w:pStyle w:val="PlainText"/>
        <w:spacing w:line="360" w:lineRule="auto"/>
        <w:ind w:firstLine="420" w:firstLineChars="200"/>
        <w:rPr>
          <w:sz w:val="24"/>
          <w:szCs w:val="24"/>
        </w:rPr>
      </w:pPr>
      <w:r>
        <w:rPr>
          <w:rFonts w:hint="eastAsia"/>
          <w:color w:val="auto"/>
          <w:sz w:val="24"/>
          <w:szCs w:val="24"/>
        </w:rPr>
        <w:t>被授权人（投标人授权</w:t>
      </w:r>
      <w:r>
        <w:rPr>
          <w:rFonts w:hint="eastAsia"/>
          <w:sz w:val="24"/>
          <w:szCs w:val="24"/>
        </w:rPr>
        <w:t>代表）无转委托权限。</w:t>
      </w:r>
    </w:p>
    <w:p>
      <w:pPr>
        <w:spacing w:line="360" w:lineRule="auto"/>
        <w:rPr>
          <w:rFonts w:ascii="宋体"/>
          <w:b/>
          <w:sz w:val="24"/>
        </w:rPr>
      </w:pPr>
      <w:r>
        <w:rPr>
          <w:rFonts w:ascii="宋体" w:hint="eastAsia"/>
          <w:b/>
          <w:sz w:val="24"/>
        </w:rPr>
        <w:t>随附《法定代表人证明》</w:t>
      </w:r>
    </w:p>
    <w:p>
      <w:pPr>
        <w:spacing w:line="360" w:lineRule="auto"/>
        <w:rPr>
          <w:rFonts w:ascii="宋体"/>
          <w:sz w:val="24"/>
        </w:rPr>
      </w:pPr>
    </w:p>
    <w:p>
      <w:pPr>
        <w:rPr>
          <w:sz w:val="24"/>
        </w:rPr>
      </w:pPr>
    </w:p>
    <w:p>
      <w:pPr>
        <w:rPr>
          <w:rFonts w:ascii="宋体"/>
          <w:sz w:val="24"/>
        </w:rPr>
      </w:pPr>
      <w:bookmarkStart w:id="272" w:name="_Hlk30667959"/>
      <w:r>
        <w:rPr>
          <w:rFonts w:hint="eastAsia"/>
          <w:sz w:val="24"/>
        </w:rPr>
        <w:t>提供被授权人（授权代表）居民身份证（正反面）</w:t>
      </w:r>
      <w:bookmarkEnd w:id="272"/>
      <w:r>
        <w:rPr>
          <w:rFonts w:hint="eastAsia"/>
          <w:sz w:val="24"/>
        </w:rPr>
        <w:t>扫描件：</w:t>
      </w:r>
    </w:p>
    <w:p>
      <w:pPr>
        <w:spacing w:line="360" w:lineRule="auto"/>
        <w:rPr>
          <w:rFonts w:ascii="宋体"/>
        </w:rPr>
      </w:pPr>
    </w:p>
    <w:p>
      <w:pPr>
        <w:spacing w:line="360" w:lineRule="auto"/>
        <w:rPr>
          <w:rFonts w:ascii="宋体"/>
        </w:rPr>
      </w:pPr>
    </w:p>
    <w:p>
      <w:pPr>
        <w:spacing w:line="360" w:lineRule="auto"/>
        <w:rPr>
          <w:rFonts w:ascii="宋体"/>
        </w:rPr>
      </w:pPr>
    </w:p>
    <w:p>
      <w:pPr>
        <w:spacing w:line="360" w:lineRule="auto"/>
        <w:rPr>
          <w:rFonts w:ascii="宋体"/>
        </w:rPr>
      </w:pPr>
    </w:p>
    <w:p>
      <w:pPr>
        <w:spacing w:line="360" w:lineRule="auto"/>
        <w:rPr>
          <w:rFonts w:ascii="宋体"/>
        </w:rPr>
      </w:pPr>
    </w:p>
    <w:p>
      <w:pPr>
        <w:spacing w:line="360" w:lineRule="auto"/>
        <w:rPr>
          <w:rFonts w:ascii="宋体"/>
        </w:rPr>
      </w:pPr>
    </w:p>
    <w:p>
      <w:pPr>
        <w:spacing w:line="440" w:lineRule="exact"/>
        <w:rPr>
          <w:rFonts w:ascii="宋体"/>
          <w:sz w:val="24"/>
        </w:rPr>
        <w:sectPr>
          <w:headerReference w:type="default" r:id="rId15"/>
          <w:footerReference w:type="default" r:id="rId16"/>
          <w:pgSz w:w="11906" w:h="16838"/>
          <w:pgMar w:top="1440" w:right="1286" w:bottom="1440" w:left="1440" w:header="851" w:footer="992" w:gutter="0"/>
          <w:cols w:num="1" w:space="720"/>
          <w:docGrid w:type="lines" w:linePitch="312" w:charSpace="0"/>
        </w:sectPr>
      </w:pPr>
      <w:bookmarkStart w:id="273" w:name="_Toc226217114"/>
    </w:p>
    <w:p>
      <w:pPr>
        <w:pStyle w:val="Heading2"/>
        <w:numPr>
          <w:ilvl w:val="0"/>
          <w:numId w:val="72"/>
        </w:numPr>
        <w:spacing w:line="240" w:lineRule="auto"/>
        <w:jc w:val="center"/>
        <w:rPr>
          <w:b w:val="0"/>
          <w:color w:val="auto"/>
        </w:rPr>
      </w:pPr>
      <w:bookmarkEnd w:id="263"/>
      <w:bookmarkEnd w:id="264"/>
      <w:bookmarkEnd w:id="265"/>
      <w:bookmarkEnd w:id="266"/>
      <w:bookmarkEnd w:id="267"/>
      <w:bookmarkEnd w:id="273"/>
      <w:bookmarkStart w:id="274" w:name="_Toc14734"/>
      <w:bookmarkStart w:id="275" w:name="_Toc256000047"/>
      <w:r>
        <w:rPr>
          <w:rFonts w:hint="eastAsia"/>
          <w:b w:val="0"/>
          <w:color w:val="auto"/>
        </w:rPr>
        <w:t>实质性条款响应情况表</w:t>
      </w:r>
      <w:bookmarkEnd w:id="275"/>
      <w:bookmarkEnd w:id="274"/>
    </w:p>
    <w:p>
      <w:pPr>
        <w:spacing w:line="400" w:lineRule="exact"/>
        <w:ind w:left="945" w:hanging="735" w:leftChars="100" w:hangingChars="350"/>
        <w:jc w:val="center"/>
        <w:rPr>
          <w:rFonts w:ascii="宋体" w:hAnsi="宋体"/>
          <w:b/>
          <w:bCs/>
          <w:color w:val="auto"/>
          <w:sz w:val="36"/>
          <w:szCs w:val="36"/>
        </w:rPr>
      </w:pPr>
      <w:r>
        <w:rPr>
          <w:rFonts w:ascii="宋体" w:hAnsi="宋体" w:hint="eastAsia"/>
          <w:b/>
          <w:bCs/>
          <w:color w:val="auto"/>
          <w:sz w:val="36"/>
          <w:szCs w:val="36"/>
        </w:rPr>
        <w:t>（非信息公开部分）</w:t>
      </w:r>
    </w:p>
    <w:p>
      <w:pPr>
        <w:spacing w:line="400" w:lineRule="exact"/>
        <w:ind w:left="945" w:hanging="735" w:leftChars="100" w:hangingChars="350"/>
        <w:rPr>
          <w:rFonts w:ascii="宋体" w:hAnsi="宋体"/>
          <w:color w:val="auto"/>
          <w:sz w:val="24"/>
        </w:rPr>
      </w:pPr>
      <w:r>
        <w:rPr>
          <w:rFonts w:ascii="宋体" w:hAnsi="宋体" w:hint="eastAsia"/>
          <w:color w:val="auto"/>
          <w:sz w:val="24"/>
        </w:rPr>
        <w:t>说明：投标人必须对应招标文件</w:t>
      </w:r>
      <w:r>
        <w:rPr>
          <w:rFonts w:ascii="宋体" w:hAnsi="宋体" w:hint="eastAsia"/>
          <w:b/>
          <w:bCs/>
          <w:color w:val="auto"/>
          <w:sz w:val="24"/>
        </w:rPr>
        <w:t>第二章用户需求书</w:t>
      </w:r>
      <w:r>
        <w:rPr>
          <w:rFonts w:hint="eastAsia"/>
          <w:color w:val="auto"/>
          <w:sz w:val="24"/>
        </w:rPr>
        <w:t>带“</w:t>
      </w:r>
      <w:r>
        <w:rPr>
          <w:rFonts w:ascii="宋体" w:hint="eastAsia"/>
          <w:b/>
          <w:bCs/>
          <w:color w:val="auto"/>
          <w:sz w:val="24"/>
        </w:rPr>
        <w:t>★</w:t>
      </w:r>
      <w:r>
        <w:rPr>
          <w:rFonts w:hint="eastAsia"/>
          <w:color w:val="auto"/>
          <w:sz w:val="24"/>
        </w:rPr>
        <w:t>”的</w:t>
      </w:r>
      <w:r>
        <w:rPr>
          <w:rFonts w:ascii="宋体" w:hAnsi="宋体" w:hint="eastAsia"/>
          <w:color w:val="auto"/>
          <w:sz w:val="24"/>
        </w:rPr>
        <w:t>实质性条款逐条应答并按要求填写下表。</w:t>
      </w:r>
    </w:p>
    <w:p>
      <w:pPr>
        <w:spacing w:line="400" w:lineRule="exact"/>
        <w:ind w:firstLine="210" w:firstLineChars="100"/>
        <w:rPr>
          <w:rFonts w:ascii="宋体" w:eastAsia="宋体" w:hAnsi="宋体" w:hint="eastAsia"/>
          <w:color w:val="auto"/>
          <w:sz w:val="24"/>
          <w:lang w:eastAsia="zh-CN"/>
        </w:rPr>
      </w:pPr>
      <w:r>
        <w:rPr>
          <w:rFonts w:ascii="宋体" w:hAnsi="宋体" w:hint="eastAsia"/>
          <w:color w:val="auto"/>
          <w:sz w:val="24"/>
        </w:rPr>
        <w:t>投标人名称：                     项目编号：</w:t>
      </w:r>
      <w:r>
        <w:rPr>
          <w:rFonts w:ascii="宋体" w:hAnsi="宋体" w:hint="eastAsia"/>
          <w:color w:val="auto"/>
          <w:sz w:val="24"/>
          <w:lang w:eastAsia="zh-CN"/>
        </w:rPr>
        <w:t>SZDL2022002374（CLF0122SZ17ZC77）</w:t>
      </w:r>
    </w:p>
    <w:tbl>
      <w:tblPr>
        <w:tblStyle w:val="TableNormal"/>
        <w:tblW w:w="9000" w:type="dxa"/>
        <w:tblInd w:w="28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0" w:type="dxa"/>
          <w:left w:w="108" w:type="dxa"/>
          <w:bottom w:w="0" w:type="dxa"/>
          <w:right w:w="108" w:type="dxa"/>
        </w:tblCellMar>
      </w:tblPr>
      <w:tblGrid>
        <w:gridCol w:w="496"/>
        <w:gridCol w:w="2530"/>
        <w:gridCol w:w="2531"/>
        <w:gridCol w:w="2003"/>
        <w:gridCol w:w="1440"/>
      </w:tblGrid>
      <w:tr>
        <w:tblPrEx>
          <w:tblW w:w="9000" w:type="dxa"/>
          <w:tblInd w:w="28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0" w:type="dxa"/>
            <w:left w:w="108" w:type="dxa"/>
            <w:bottom w:w="0" w:type="dxa"/>
            <w:right w:w="108" w:type="dxa"/>
          </w:tblCellMar>
        </w:tblPrEx>
        <w:trPr>
          <w:trHeight w:val="921"/>
        </w:trPr>
        <w:tc>
          <w:tcPr>
            <w:tcW w:w="496" w:type="dxa"/>
            <w:tcBorders>
              <w:top w:val="single" w:sz="12" w:space="0" w:color="auto"/>
              <w:bottom w:val="double" w:sz="4" w:space="0" w:color="auto"/>
            </w:tcBorders>
            <w:shd w:val="clear" w:color="auto" w:fill="EEECE1"/>
            <w:vAlign w:val="center"/>
          </w:tcPr>
          <w:p>
            <w:pPr>
              <w:ind w:left="-78" w:right="-80" w:leftChars="-37" w:rightChars="-38"/>
              <w:jc w:val="center"/>
              <w:rPr>
                <w:rFonts w:ascii="宋体" w:hAnsi="宋体"/>
                <w:color w:val="auto"/>
                <w:sz w:val="24"/>
              </w:rPr>
            </w:pPr>
            <w:r>
              <w:rPr>
                <w:rFonts w:ascii="宋体" w:hAnsi="宋体" w:hint="eastAsia"/>
                <w:color w:val="auto"/>
                <w:sz w:val="24"/>
              </w:rPr>
              <w:t>序号</w:t>
            </w:r>
          </w:p>
        </w:tc>
        <w:tc>
          <w:tcPr>
            <w:tcW w:w="2530" w:type="dxa"/>
            <w:tcBorders>
              <w:top w:val="single" w:sz="12" w:space="0" w:color="auto"/>
              <w:bottom w:val="double" w:sz="4" w:space="0" w:color="auto"/>
            </w:tcBorders>
            <w:shd w:val="clear" w:color="auto" w:fill="EEECE1"/>
            <w:vAlign w:val="center"/>
          </w:tcPr>
          <w:p>
            <w:pPr>
              <w:ind w:left="-78" w:right="-80" w:leftChars="-37" w:rightChars="-38"/>
              <w:jc w:val="center"/>
              <w:rPr>
                <w:rFonts w:ascii="宋体" w:hAnsi="宋体"/>
                <w:color w:val="auto"/>
                <w:sz w:val="24"/>
              </w:rPr>
            </w:pPr>
            <w:r>
              <w:rPr>
                <w:rFonts w:ascii="宋体" w:hAnsi="宋体" w:hint="eastAsia"/>
                <w:color w:val="auto"/>
                <w:sz w:val="24"/>
              </w:rPr>
              <w:t>招标文件条款描述</w:t>
            </w:r>
          </w:p>
        </w:tc>
        <w:tc>
          <w:tcPr>
            <w:tcW w:w="2531" w:type="dxa"/>
            <w:tcBorders>
              <w:top w:val="single" w:sz="12" w:space="0" w:color="auto"/>
              <w:bottom w:val="double" w:sz="4" w:space="0" w:color="auto"/>
            </w:tcBorders>
            <w:shd w:val="clear" w:color="auto" w:fill="EEECE1"/>
            <w:vAlign w:val="center"/>
          </w:tcPr>
          <w:p>
            <w:pPr>
              <w:ind w:left="-78" w:right="-80" w:leftChars="-37" w:rightChars="-38"/>
              <w:jc w:val="center"/>
              <w:rPr>
                <w:rFonts w:ascii="宋体" w:hAnsi="宋体"/>
                <w:color w:val="auto"/>
                <w:sz w:val="24"/>
              </w:rPr>
            </w:pPr>
            <w:r>
              <w:rPr>
                <w:rFonts w:ascii="宋体" w:hAnsi="宋体" w:hint="eastAsia"/>
                <w:color w:val="auto"/>
                <w:sz w:val="24"/>
              </w:rPr>
              <w:t>投标人响应描述</w:t>
            </w:r>
          </w:p>
        </w:tc>
        <w:tc>
          <w:tcPr>
            <w:tcW w:w="2003" w:type="dxa"/>
            <w:tcBorders>
              <w:top w:val="single" w:sz="12" w:space="0" w:color="auto"/>
              <w:bottom w:val="double" w:sz="4" w:space="0" w:color="auto"/>
              <w:right w:val="single" w:sz="2" w:space="0" w:color="auto"/>
            </w:tcBorders>
            <w:shd w:val="clear" w:color="auto" w:fill="EEECE1"/>
            <w:vAlign w:val="center"/>
          </w:tcPr>
          <w:p>
            <w:pPr>
              <w:ind w:left="-78" w:right="-80" w:leftChars="-37" w:rightChars="-38"/>
              <w:jc w:val="center"/>
              <w:rPr>
                <w:rFonts w:ascii="宋体" w:hAnsi="宋体"/>
                <w:color w:val="auto"/>
                <w:sz w:val="24"/>
              </w:rPr>
            </w:pPr>
            <w:r>
              <w:rPr>
                <w:rFonts w:ascii="宋体" w:hAnsi="宋体" w:hint="eastAsia"/>
                <w:color w:val="auto"/>
                <w:sz w:val="24"/>
              </w:rPr>
              <w:t>偏离情况说明</w:t>
            </w:r>
          </w:p>
          <w:p>
            <w:pPr>
              <w:ind w:left="-90" w:right="-80" w:leftChars="-43" w:rightChars="-38"/>
              <w:jc w:val="center"/>
              <w:rPr>
                <w:rFonts w:ascii="宋体" w:hAnsi="宋体"/>
                <w:color w:val="auto"/>
                <w:sz w:val="24"/>
              </w:rPr>
            </w:pPr>
            <w:r>
              <w:rPr>
                <w:rFonts w:ascii="宋体" w:hAnsi="宋体" w:hint="eastAsia"/>
                <w:color w:val="auto"/>
                <w:sz w:val="24"/>
              </w:rPr>
              <w:t>（</w:t>
            </w:r>
            <w:r>
              <w:rPr>
                <w:rFonts w:hint="eastAsia"/>
                <w:color w:val="auto"/>
                <w:sz w:val="24"/>
              </w:rPr>
              <w:t>正偏离/完全响应/负偏离</w:t>
            </w:r>
            <w:r>
              <w:rPr>
                <w:rFonts w:ascii="宋体" w:hAnsi="宋体" w:hint="eastAsia"/>
                <w:color w:val="auto"/>
                <w:sz w:val="24"/>
              </w:rPr>
              <w:t>）</w:t>
            </w:r>
          </w:p>
        </w:tc>
        <w:tc>
          <w:tcPr>
            <w:tcW w:w="1440" w:type="dxa"/>
            <w:tcBorders>
              <w:top w:val="single" w:sz="12" w:space="0" w:color="auto"/>
              <w:left w:val="single" w:sz="2" w:space="0" w:color="auto"/>
              <w:bottom w:val="double" w:sz="4" w:space="0" w:color="auto"/>
            </w:tcBorders>
            <w:shd w:val="clear" w:color="auto" w:fill="EEECE1"/>
            <w:vAlign w:val="center"/>
          </w:tcPr>
          <w:p>
            <w:pPr>
              <w:ind w:left="-78" w:right="-80" w:leftChars="-37" w:rightChars="-38"/>
              <w:jc w:val="center"/>
              <w:rPr>
                <w:rFonts w:ascii="宋体" w:hAnsi="宋体"/>
                <w:color w:val="auto"/>
                <w:sz w:val="24"/>
              </w:rPr>
            </w:pPr>
            <w:r>
              <w:rPr>
                <w:rFonts w:hint="eastAsia"/>
                <w:color w:val="auto"/>
                <w:sz w:val="24"/>
              </w:rPr>
              <w:t>说明</w:t>
            </w:r>
          </w:p>
        </w:tc>
      </w:tr>
      <w:tr>
        <w:tblPrEx>
          <w:tblW w:w="9000" w:type="dxa"/>
          <w:tblInd w:w="288" w:type="dxa"/>
          <w:tblLayout w:type="fixed"/>
          <w:tblCellMar>
            <w:top w:w="0" w:type="dxa"/>
            <w:left w:w="108" w:type="dxa"/>
            <w:bottom w:w="0" w:type="dxa"/>
            <w:right w:w="108" w:type="dxa"/>
          </w:tblCellMar>
        </w:tblPrEx>
        <w:tc>
          <w:tcPr>
            <w:tcW w:w="496" w:type="dxa"/>
            <w:tcBorders>
              <w:top w:val="double" w:sz="4" w:space="0" w:color="auto"/>
            </w:tcBorders>
            <w:vAlign w:val="center"/>
          </w:tcPr>
          <w:p>
            <w:pPr>
              <w:numPr>
                <w:ilvl w:val="0"/>
                <w:numId w:val="79"/>
              </w:numPr>
              <w:jc w:val="center"/>
              <w:rPr>
                <w:rFonts w:ascii="宋体" w:hAnsi="宋体"/>
                <w:color w:val="auto"/>
                <w:sz w:val="24"/>
              </w:rPr>
            </w:pPr>
          </w:p>
        </w:tc>
        <w:tc>
          <w:tcPr>
            <w:tcW w:w="2530" w:type="dxa"/>
            <w:tcBorders>
              <w:top w:val="double" w:sz="4" w:space="0" w:color="auto"/>
            </w:tcBorders>
            <w:vAlign w:val="center"/>
          </w:tcPr>
          <w:p>
            <w:pPr>
              <w:numPr>
                <w:ilvl w:val="0"/>
                <w:numId w:val="0"/>
              </w:numPr>
              <w:ind w:right="-80" w:leftChars="0" w:rightChars="-38"/>
              <w:jc w:val="left"/>
              <w:rPr>
                <w:sz w:val="24"/>
                <w:szCs w:val="24"/>
              </w:rPr>
            </w:pPr>
            <w:r>
              <w:rPr>
                <w:rFonts w:hint="eastAsia"/>
                <w:sz w:val="24"/>
                <w:szCs w:val="24"/>
                <w:lang w:val="en-US" w:eastAsia="zh-CN"/>
              </w:rPr>
              <w:t>五、商务</w:t>
            </w:r>
            <w:r>
              <w:rPr>
                <w:rFonts w:hint="eastAsia"/>
                <w:sz w:val="24"/>
                <w:szCs w:val="24"/>
              </w:rPr>
              <w:t>要求</w:t>
            </w:r>
          </w:p>
          <w:p>
            <w:pPr>
              <w:pStyle w:val="a"/>
              <w:spacing w:line="240" w:lineRule="auto"/>
              <w:ind w:left="0" w:firstLine="0" w:leftChars="0" w:firstLineChars="0"/>
              <w:rPr>
                <w:rFonts w:ascii="宋体" w:eastAsia="宋体" w:hAnsi="宋体" w:cs="宋体" w:hint="eastAsia"/>
                <w:sz w:val="24"/>
                <w:szCs w:val="24"/>
              </w:rPr>
            </w:pPr>
            <w:r>
              <w:rPr>
                <w:rFonts w:ascii="宋体" w:eastAsia="宋体" w:hAnsi="宋体" w:cs="宋体" w:hint="eastAsia"/>
                <w:sz w:val="24"/>
                <w:szCs w:val="24"/>
              </w:rPr>
              <w:t>（一）★报价要求</w:t>
            </w:r>
          </w:p>
          <w:p>
            <w:pPr>
              <w:pStyle w:val="a"/>
              <w:spacing w:line="240" w:lineRule="auto"/>
              <w:ind w:left="0" w:firstLine="0" w:leftChars="0" w:firstLineChars="0"/>
              <w:rPr>
                <w:rFonts w:ascii="宋体" w:eastAsia="宋体" w:hAnsi="宋体" w:cs="宋体" w:hint="eastAsia"/>
                <w:sz w:val="24"/>
                <w:szCs w:val="24"/>
              </w:rPr>
            </w:pPr>
            <w:r>
              <w:rPr>
                <w:rFonts w:ascii="宋体" w:eastAsia="宋体" w:hAnsi="宋体" w:cs="宋体" w:hint="eastAsia"/>
                <w:sz w:val="24"/>
                <w:szCs w:val="24"/>
              </w:rPr>
              <w:t>1.投标人应根据本企业的成本自行决定报价，但不得以低于其企业成本的报价投标；评标时，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a"/>
              <w:spacing w:line="240" w:lineRule="auto"/>
              <w:ind w:left="0" w:firstLine="0" w:leftChars="0" w:firstLineChars="0"/>
              <w:rPr>
                <w:rFonts w:ascii="宋体" w:eastAsia="宋体" w:hAnsi="宋体" w:cs="宋体" w:hint="eastAsia"/>
                <w:sz w:val="24"/>
                <w:szCs w:val="24"/>
              </w:rPr>
            </w:pPr>
            <w:r>
              <w:rPr>
                <w:rFonts w:ascii="宋体" w:eastAsia="宋体" w:hAnsi="宋体" w:cs="宋体" w:hint="eastAsia"/>
                <w:sz w:val="24"/>
                <w:szCs w:val="24"/>
              </w:rPr>
              <w:t>2.投标人的投标报价，应是本项目招标范围和招标文件及合同条款上所列的各项内容中所述的全部，不得以任何理由予以重复，并以投标人在投标文件中提出的综合单价或总价为依据。</w:t>
            </w:r>
          </w:p>
          <w:p>
            <w:pPr>
              <w:pStyle w:val="a"/>
              <w:spacing w:line="240" w:lineRule="auto"/>
              <w:ind w:left="0" w:firstLine="0" w:leftChars="0" w:firstLineChars="0"/>
              <w:rPr>
                <w:rFonts w:ascii="宋体" w:eastAsia="宋体" w:hAnsi="宋体" w:cs="宋体" w:hint="eastAsia"/>
                <w:sz w:val="24"/>
                <w:szCs w:val="24"/>
              </w:rPr>
            </w:pPr>
            <w:r>
              <w:rPr>
                <w:rFonts w:ascii="宋体" w:eastAsia="宋体" w:hAnsi="宋体" w:cs="宋体" w:hint="eastAsia"/>
                <w:sz w:val="24"/>
                <w:szCs w:val="24"/>
              </w:rPr>
              <w:t>3.除非采购人或采购代理机构通过修改招标文件予以更正，否则，投标人应毫无例外地按招标文件所列的清单中项目和数量填报综合单价或总价。投标人未填综合单价或总价的项目，在实施后，将不得以支付，并视作该项费用已包括在其它有价款的综合单价或总价内。</w:t>
            </w:r>
          </w:p>
          <w:p>
            <w:pPr>
              <w:pStyle w:val="a"/>
              <w:spacing w:line="240" w:lineRule="auto"/>
              <w:ind w:left="0" w:firstLine="0" w:leftChars="0" w:firstLineChars="0"/>
              <w:rPr>
                <w:rFonts w:ascii="宋体" w:eastAsia="宋体" w:hAnsi="宋体" w:cs="宋体" w:hint="eastAsia"/>
                <w:sz w:val="24"/>
                <w:szCs w:val="24"/>
              </w:rPr>
            </w:pPr>
            <w:r>
              <w:rPr>
                <w:rFonts w:ascii="宋体" w:eastAsia="宋体" w:hAnsi="宋体" w:cs="宋体" w:hint="eastAsia"/>
                <w:sz w:val="24"/>
                <w:szCs w:val="24"/>
              </w:rPr>
              <w:t>4.投标人不得期望通过索赔等方式获取补偿，否则，除可能遭到拒绝外，还可能将被作为不良行为记录在案，并可能影响其以后参加政府采购的项目投标。各投标人在投标报价时，应充分考虑投标报价的风险。</w:t>
            </w:r>
          </w:p>
          <w:p>
            <w:pPr>
              <w:pStyle w:val="a"/>
              <w:spacing w:line="240" w:lineRule="auto"/>
              <w:ind w:left="0" w:firstLine="0" w:leftChars="0" w:firstLineChars="0"/>
            </w:pPr>
            <w:r>
              <w:rPr>
                <w:rFonts w:ascii="宋体" w:eastAsia="宋体" w:hAnsi="宋体" w:cs="宋体" w:hint="eastAsia"/>
                <w:sz w:val="24"/>
                <w:szCs w:val="24"/>
              </w:rPr>
              <w:t>5.投标人须考虑本项目在实施期间的一切可能产生的费用。在项目实施过程中，如项目工作范围发生变更，由中标人和采购人双方协商解决；其余情况下，投标总价均不予调整。</w:t>
            </w:r>
          </w:p>
        </w:tc>
        <w:tc>
          <w:tcPr>
            <w:tcW w:w="2531" w:type="dxa"/>
            <w:tcBorders>
              <w:top w:val="double" w:sz="4" w:space="0" w:color="auto"/>
            </w:tcBorders>
            <w:vAlign w:val="center"/>
          </w:tcPr>
          <w:p>
            <w:pPr>
              <w:ind w:left="-78" w:right="-80" w:leftChars="-37" w:rightChars="-38"/>
              <w:jc w:val="center"/>
              <w:rPr>
                <w:rFonts w:ascii="宋体" w:hAnsi="宋体"/>
                <w:color w:val="auto"/>
                <w:sz w:val="24"/>
              </w:rPr>
            </w:pPr>
          </w:p>
        </w:tc>
        <w:tc>
          <w:tcPr>
            <w:tcW w:w="2003" w:type="dxa"/>
            <w:tcBorders>
              <w:top w:val="double" w:sz="4" w:space="0" w:color="auto"/>
              <w:right w:val="single" w:sz="2" w:space="0" w:color="auto"/>
            </w:tcBorders>
            <w:vAlign w:val="center"/>
          </w:tcPr>
          <w:p>
            <w:pPr>
              <w:ind w:left="-78" w:right="-80" w:leftChars="-37" w:rightChars="-38"/>
              <w:jc w:val="center"/>
              <w:rPr>
                <w:rFonts w:ascii="宋体" w:hAnsi="宋体"/>
                <w:color w:val="auto"/>
                <w:sz w:val="24"/>
              </w:rPr>
            </w:pPr>
          </w:p>
        </w:tc>
        <w:tc>
          <w:tcPr>
            <w:tcW w:w="1440" w:type="dxa"/>
            <w:tcBorders>
              <w:top w:val="double" w:sz="4" w:space="0" w:color="auto"/>
              <w:left w:val="single" w:sz="2" w:space="0" w:color="auto"/>
            </w:tcBorders>
            <w:vAlign w:val="center"/>
          </w:tcPr>
          <w:p>
            <w:pPr>
              <w:ind w:left="-78" w:right="-80" w:leftChars="-37" w:rightChars="-38"/>
              <w:jc w:val="center"/>
              <w:rPr>
                <w:rFonts w:ascii="宋体" w:hAnsi="宋体"/>
                <w:color w:val="auto"/>
                <w:sz w:val="24"/>
              </w:rPr>
            </w:pPr>
          </w:p>
        </w:tc>
      </w:tr>
      <w:tr>
        <w:tblPrEx>
          <w:tblW w:w="9000" w:type="dxa"/>
          <w:tblInd w:w="288" w:type="dxa"/>
          <w:tblLayout w:type="fixed"/>
          <w:tblCellMar>
            <w:top w:w="0" w:type="dxa"/>
            <w:left w:w="108" w:type="dxa"/>
            <w:bottom w:w="0" w:type="dxa"/>
            <w:right w:w="108" w:type="dxa"/>
          </w:tblCellMar>
        </w:tblPrEx>
        <w:tc>
          <w:tcPr>
            <w:tcW w:w="496" w:type="dxa"/>
            <w:vAlign w:val="center"/>
          </w:tcPr>
          <w:p>
            <w:pPr>
              <w:numPr>
                <w:ilvl w:val="0"/>
                <w:numId w:val="79"/>
              </w:numPr>
              <w:jc w:val="center"/>
              <w:rPr>
                <w:rFonts w:ascii="宋体" w:hAnsi="宋体"/>
                <w:color w:val="auto"/>
                <w:sz w:val="24"/>
              </w:rPr>
            </w:pPr>
          </w:p>
        </w:tc>
        <w:tc>
          <w:tcPr>
            <w:tcW w:w="2530" w:type="dxa"/>
            <w:vAlign w:val="center"/>
          </w:tcPr>
          <w:p>
            <w:pPr>
              <w:numPr>
                <w:ilvl w:val="0"/>
                <w:numId w:val="0"/>
              </w:numPr>
              <w:ind w:right="-80" w:leftChars="0" w:rightChars="-38"/>
              <w:jc w:val="left"/>
              <w:rPr>
                <w:sz w:val="24"/>
                <w:szCs w:val="24"/>
              </w:rPr>
            </w:pPr>
            <w:r>
              <w:rPr>
                <w:rFonts w:hint="eastAsia"/>
                <w:sz w:val="24"/>
                <w:szCs w:val="24"/>
                <w:lang w:val="en-US" w:eastAsia="zh-CN"/>
              </w:rPr>
              <w:t>五、商务</w:t>
            </w:r>
            <w:r>
              <w:rPr>
                <w:rFonts w:hint="eastAsia"/>
                <w:sz w:val="24"/>
                <w:szCs w:val="24"/>
              </w:rPr>
              <w:t>要求</w:t>
            </w:r>
          </w:p>
          <w:p>
            <w:pPr>
              <w:ind w:left="-78" w:right="-80" w:leftChars="-37" w:rightChars="-38"/>
              <w:jc w:val="left"/>
              <w:rPr>
                <w:rFonts w:ascii="宋体" w:hAnsi="宋体" w:hint="eastAsia"/>
                <w:color w:val="auto"/>
                <w:sz w:val="24"/>
              </w:rPr>
            </w:pPr>
            <w:r>
              <w:rPr>
                <w:rFonts w:ascii="宋体" w:hAnsi="宋体" w:hint="eastAsia"/>
                <w:color w:val="auto"/>
                <w:sz w:val="24"/>
              </w:rPr>
              <w:t>（二）★支付要求</w:t>
            </w:r>
          </w:p>
          <w:p>
            <w:pPr>
              <w:ind w:left="-78" w:right="-80" w:leftChars="-37" w:rightChars="-38"/>
              <w:jc w:val="left"/>
              <w:rPr>
                <w:rFonts w:ascii="宋体" w:hAnsi="宋体"/>
                <w:color w:val="auto"/>
                <w:sz w:val="24"/>
              </w:rPr>
            </w:pPr>
            <w:r>
              <w:rPr>
                <w:rFonts w:ascii="宋体" w:hAnsi="宋体" w:hint="eastAsia"/>
                <w:color w:val="auto"/>
                <w:sz w:val="24"/>
              </w:rPr>
              <w:t>在合同签订且收到发票后15日内，采购人支付合同总价的50%；项目指标全部完成后，采购人在收到中标人验收申请后7日内组织履约验收；验收通过后，采购人在收到发票后15日内支付合同总价的50%。</w:t>
            </w:r>
          </w:p>
        </w:tc>
        <w:tc>
          <w:tcPr>
            <w:tcW w:w="2531" w:type="dxa"/>
            <w:vAlign w:val="center"/>
          </w:tcPr>
          <w:p>
            <w:pPr>
              <w:ind w:left="-78" w:right="-80" w:leftChars="-37" w:rightChars="-38"/>
              <w:jc w:val="center"/>
              <w:rPr>
                <w:rFonts w:ascii="宋体" w:hAnsi="宋体"/>
                <w:color w:val="auto"/>
                <w:sz w:val="24"/>
              </w:rPr>
            </w:pPr>
          </w:p>
        </w:tc>
        <w:tc>
          <w:tcPr>
            <w:tcW w:w="2003" w:type="dxa"/>
            <w:tcBorders>
              <w:right w:val="single" w:sz="2" w:space="0" w:color="auto"/>
            </w:tcBorders>
            <w:vAlign w:val="center"/>
          </w:tcPr>
          <w:p>
            <w:pPr>
              <w:ind w:left="-78" w:right="-80" w:leftChars="-37" w:rightChars="-38"/>
              <w:jc w:val="center"/>
              <w:rPr>
                <w:rFonts w:ascii="宋体" w:hAnsi="宋体"/>
                <w:color w:val="auto"/>
                <w:sz w:val="24"/>
              </w:rPr>
            </w:pPr>
          </w:p>
        </w:tc>
        <w:tc>
          <w:tcPr>
            <w:tcW w:w="1440" w:type="dxa"/>
            <w:tcBorders>
              <w:left w:val="single" w:sz="2" w:space="0" w:color="auto"/>
            </w:tcBorders>
            <w:vAlign w:val="center"/>
          </w:tcPr>
          <w:p>
            <w:pPr>
              <w:ind w:left="-78" w:right="-80" w:leftChars="-37" w:rightChars="-38"/>
              <w:jc w:val="center"/>
              <w:rPr>
                <w:rFonts w:ascii="宋体" w:hAnsi="宋体"/>
                <w:color w:val="auto"/>
                <w:sz w:val="24"/>
              </w:rPr>
            </w:pPr>
          </w:p>
        </w:tc>
      </w:tr>
      <w:tr>
        <w:tblPrEx>
          <w:tblW w:w="9000" w:type="dxa"/>
          <w:tblInd w:w="288" w:type="dxa"/>
          <w:tblLayout w:type="fixed"/>
          <w:tblCellMar>
            <w:top w:w="0" w:type="dxa"/>
            <w:left w:w="108" w:type="dxa"/>
            <w:bottom w:w="0" w:type="dxa"/>
            <w:right w:w="108" w:type="dxa"/>
          </w:tblCellMar>
        </w:tblPrEx>
        <w:tc>
          <w:tcPr>
            <w:tcW w:w="496" w:type="dxa"/>
            <w:vAlign w:val="center"/>
          </w:tcPr>
          <w:p>
            <w:pPr>
              <w:numPr>
                <w:ilvl w:val="0"/>
                <w:numId w:val="79"/>
              </w:numPr>
              <w:jc w:val="center"/>
              <w:rPr>
                <w:rFonts w:ascii="宋体" w:hAnsi="宋体"/>
                <w:color w:val="auto"/>
                <w:sz w:val="24"/>
              </w:rPr>
            </w:pPr>
          </w:p>
        </w:tc>
        <w:tc>
          <w:tcPr>
            <w:tcW w:w="2530" w:type="dxa"/>
            <w:vAlign w:val="center"/>
          </w:tcPr>
          <w:p>
            <w:pPr>
              <w:numPr>
                <w:ilvl w:val="0"/>
                <w:numId w:val="0"/>
              </w:numPr>
              <w:ind w:right="-80" w:leftChars="0" w:rightChars="-38"/>
              <w:jc w:val="left"/>
              <w:rPr>
                <w:sz w:val="24"/>
                <w:szCs w:val="24"/>
              </w:rPr>
            </w:pPr>
            <w:r>
              <w:rPr>
                <w:rFonts w:hint="eastAsia"/>
                <w:sz w:val="24"/>
                <w:szCs w:val="24"/>
                <w:lang w:val="en-US" w:eastAsia="zh-CN"/>
              </w:rPr>
              <w:t>五、商务</w:t>
            </w:r>
            <w:r>
              <w:rPr>
                <w:rFonts w:hint="eastAsia"/>
                <w:sz w:val="24"/>
                <w:szCs w:val="24"/>
              </w:rPr>
              <w:t>要求</w:t>
            </w:r>
          </w:p>
          <w:p>
            <w:pPr>
              <w:ind w:left="-78" w:right="-80" w:leftChars="-37" w:rightChars="-38"/>
              <w:jc w:val="left"/>
              <w:rPr>
                <w:rFonts w:ascii="宋体" w:hAnsi="宋体" w:hint="eastAsia"/>
                <w:color w:val="auto"/>
                <w:sz w:val="24"/>
              </w:rPr>
            </w:pPr>
            <w:r>
              <w:rPr>
                <w:rFonts w:ascii="宋体" w:hAnsi="宋体" w:hint="eastAsia"/>
                <w:color w:val="auto"/>
                <w:sz w:val="24"/>
              </w:rPr>
              <w:t>（三）★合同服务期限</w:t>
            </w:r>
          </w:p>
          <w:p>
            <w:pPr>
              <w:ind w:left="-78" w:right="-80" w:leftChars="-37" w:rightChars="-38"/>
              <w:jc w:val="left"/>
              <w:rPr>
                <w:rFonts w:ascii="宋体" w:hAnsi="宋体"/>
                <w:color w:val="auto"/>
                <w:sz w:val="24"/>
              </w:rPr>
            </w:pPr>
            <w:r>
              <w:rPr>
                <w:rFonts w:ascii="宋体" w:hAnsi="宋体" w:hint="eastAsia"/>
                <w:color w:val="auto"/>
                <w:sz w:val="24"/>
              </w:rPr>
              <w:t>项目服务期限：本项目服务期自合同签订之日起至2024年9月30日。</w:t>
            </w:r>
          </w:p>
        </w:tc>
        <w:tc>
          <w:tcPr>
            <w:tcW w:w="2531" w:type="dxa"/>
            <w:vAlign w:val="center"/>
          </w:tcPr>
          <w:p>
            <w:pPr>
              <w:ind w:left="-78" w:right="-80" w:leftChars="-37" w:rightChars="-38"/>
              <w:jc w:val="center"/>
              <w:rPr>
                <w:rFonts w:ascii="宋体" w:hAnsi="宋体"/>
                <w:color w:val="auto"/>
                <w:sz w:val="24"/>
              </w:rPr>
            </w:pPr>
          </w:p>
        </w:tc>
        <w:tc>
          <w:tcPr>
            <w:tcW w:w="2003" w:type="dxa"/>
            <w:tcBorders>
              <w:right w:val="single" w:sz="2" w:space="0" w:color="auto"/>
            </w:tcBorders>
            <w:vAlign w:val="center"/>
          </w:tcPr>
          <w:p>
            <w:pPr>
              <w:ind w:left="-78" w:right="-80" w:leftChars="-37" w:rightChars="-38"/>
              <w:jc w:val="center"/>
              <w:rPr>
                <w:rFonts w:ascii="宋体" w:hAnsi="宋体"/>
                <w:color w:val="auto"/>
                <w:sz w:val="24"/>
              </w:rPr>
            </w:pPr>
          </w:p>
        </w:tc>
        <w:tc>
          <w:tcPr>
            <w:tcW w:w="1440" w:type="dxa"/>
            <w:tcBorders>
              <w:left w:val="single" w:sz="2" w:space="0" w:color="auto"/>
            </w:tcBorders>
            <w:vAlign w:val="center"/>
          </w:tcPr>
          <w:p>
            <w:pPr>
              <w:ind w:left="-78" w:right="-80" w:leftChars="-37" w:rightChars="-38"/>
              <w:jc w:val="center"/>
              <w:rPr>
                <w:rFonts w:ascii="宋体" w:hAnsi="宋体"/>
                <w:color w:val="auto"/>
                <w:sz w:val="24"/>
              </w:rPr>
            </w:pPr>
          </w:p>
        </w:tc>
      </w:tr>
      <w:tr>
        <w:tblPrEx>
          <w:tblW w:w="9000" w:type="dxa"/>
          <w:tblInd w:w="288" w:type="dxa"/>
          <w:tblLayout w:type="fixed"/>
          <w:tblCellMar>
            <w:top w:w="0" w:type="dxa"/>
            <w:left w:w="108" w:type="dxa"/>
            <w:bottom w:w="0" w:type="dxa"/>
            <w:right w:w="108" w:type="dxa"/>
          </w:tblCellMar>
        </w:tblPrEx>
        <w:tc>
          <w:tcPr>
            <w:tcW w:w="496" w:type="dxa"/>
            <w:vAlign w:val="center"/>
          </w:tcPr>
          <w:p>
            <w:pPr>
              <w:numPr>
                <w:ilvl w:val="0"/>
                <w:numId w:val="79"/>
              </w:numPr>
              <w:jc w:val="center"/>
              <w:rPr>
                <w:rFonts w:ascii="宋体" w:hAnsi="宋体"/>
                <w:color w:val="auto"/>
                <w:sz w:val="24"/>
              </w:rPr>
            </w:pPr>
          </w:p>
        </w:tc>
        <w:tc>
          <w:tcPr>
            <w:tcW w:w="2530" w:type="dxa"/>
            <w:vAlign w:val="center"/>
          </w:tcPr>
          <w:p>
            <w:pPr>
              <w:numPr>
                <w:ilvl w:val="0"/>
                <w:numId w:val="0"/>
              </w:numPr>
              <w:ind w:right="-80" w:leftChars="0" w:rightChars="-38"/>
              <w:jc w:val="left"/>
              <w:rPr>
                <w:sz w:val="24"/>
                <w:szCs w:val="24"/>
              </w:rPr>
            </w:pPr>
            <w:r>
              <w:rPr>
                <w:rFonts w:hint="eastAsia"/>
                <w:sz w:val="24"/>
                <w:szCs w:val="24"/>
                <w:lang w:val="en-US" w:eastAsia="zh-CN"/>
              </w:rPr>
              <w:t>五、商务</w:t>
            </w:r>
            <w:r>
              <w:rPr>
                <w:rFonts w:hint="eastAsia"/>
                <w:sz w:val="24"/>
                <w:szCs w:val="24"/>
              </w:rPr>
              <w:t>要求</w:t>
            </w:r>
          </w:p>
          <w:p>
            <w:pPr>
              <w:ind w:left="-78" w:right="-80" w:leftChars="-37" w:rightChars="-38"/>
              <w:jc w:val="left"/>
              <w:rPr>
                <w:rFonts w:ascii="宋体" w:hAnsi="宋体" w:hint="eastAsia"/>
                <w:color w:val="auto"/>
                <w:sz w:val="24"/>
              </w:rPr>
            </w:pPr>
            <w:r>
              <w:rPr>
                <w:rFonts w:ascii="宋体" w:hAnsi="宋体" w:hint="eastAsia"/>
                <w:color w:val="auto"/>
                <w:sz w:val="24"/>
              </w:rPr>
              <w:t>（四）★项目进度安排</w:t>
            </w:r>
          </w:p>
          <w:p>
            <w:pPr>
              <w:ind w:left="-78" w:right="-80" w:leftChars="-37" w:rightChars="-38"/>
              <w:jc w:val="left"/>
              <w:rPr>
                <w:rFonts w:ascii="宋体" w:hAnsi="宋体"/>
                <w:color w:val="auto"/>
                <w:sz w:val="24"/>
              </w:rPr>
            </w:pPr>
            <w:r>
              <w:rPr>
                <w:rFonts w:ascii="宋体" w:hAnsi="宋体" w:hint="eastAsia"/>
                <w:color w:val="auto"/>
                <w:sz w:val="24"/>
              </w:rPr>
              <w:t>项目中标确认后15个工作日内完成项目实施的准备工作，中标人提交基准年碳核查全流程技术支持工作计划，明确技术支持人员名单、任务分工等；按照采购方的招标技术及时间要求，安排项目进度，完成目标任务。</w:t>
            </w:r>
          </w:p>
        </w:tc>
        <w:tc>
          <w:tcPr>
            <w:tcW w:w="2531" w:type="dxa"/>
            <w:vAlign w:val="center"/>
          </w:tcPr>
          <w:p>
            <w:pPr>
              <w:ind w:left="-78" w:right="-80" w:leftChars="-37" w:rightChars="-38"/>
              <w:jc w:val="center"/>
              <w:rPr>
                <w:rFonts w:ascii="宋体" w:hAnsi="宋体"/>
                <w:color w:val="auto"/>
                <w:sz w:val="24"/>
              </w:rPr>
            </w:pPr>
          </w:p>
        </w:tc>
        <w:tc>
          <w:tcPr>
            <w:tcW w:w="2003" w:type="dxa"/>
            <w:tcBorders>
              <w:right w:val="single" w:sz="2" w:space="0" w:color="auto"/>
            </w:tcBorders>
            <w:vAlign w:val="center"/>
          </w:tcPr>
          <w:p>
            <w:pPr>
              <w:ind w:left="-78" w:right="-80" w:leftChars="-37" w:rightChars="-38"/>
              <w:jc w:val="center"/>
              <w:rPr>
                <w:rFonts w:ascii="宋体" w:hAnsi="宋体"/>
                <w:color w:val="auto"/>
                <w:sz w:val="24"/>
              </w:rPr>
            </w:pPr>
          </w:p>
        </w:tc>
        <w:tc>
          <w:tcPr>
            <w:tcW w:w="1440" w:type="dxa"/>
            <w:tcBorders>
              <w:left w:val="single" w:sz="2" w:space="0" w:color="auto"/>
            </w:tcBorders>
            <w:vAlign w:val="center"/>
          </w:tcPr>
          <w:p>
            <w:pPr>
              <w:ind w:left="-78" w:right="-80" w:leftChars="-37" w:rightChars="-38"/>
              <w:jc w:val="center"/>
              <w:rPr>
                <w:rFonts w:ascii="宋体" w:hAnsi="宋体"/>
                <w:color w:val="auto"/>
                <w:sz w:val="24"/>
              </w:rPr>
            </w:pPr>
          </w:p>
        </w:tc>
      </w:tr>
      <w:tr>
        <w:tblPrEx>
          <w:tblW w:w="9000" w:type="dxa"/>
          <w:tblInd w:w="288" w:type="dxa"/>
          <w:tblLayout w:type="fixed"/>
          <w:tblCellMar>
            <w:top w:w="0" w:type="dxa"/>
            <w:left w:w="108" w:type="dxa"/>
            <w:bottom w:w="0" w:type="dxa"/>
            <w:right w:w="108" w:type="dxa"/>
          </w:tblCellMar>
        </w:tblPrEx>
        <w:tc>
          <w:tcPr>
            <w:tcW w:w="496" w:type="dxa"/>
            <w:vAlign w:val="center"/>
          </w:tcPr>
          <w:p>
            <w:pPr>
              <w:numPr>
                <w:ilvl w:val="0"/>
                <w:numId w:val="79"/>
              </w:numPr>
              <w:jc w:val="center"/>
              <w:rPr>
                <w:rFonts w:ascii="宋体" w:hAnsi="宋体"/>
                <w:sz w:val="24"/>
              </w:rPr>
            </w:pPr>
          </w:p>
        </w:tc>
        <w:tc>
          <w:tcPr>
            <w:tcW w:w="2530" w:type="dxa"/>
            <w:vAlign w:val="center"/>
          </w:tcPr>
          <w:p>
            <w:pPr>
              <w:numPr>
                <w:ilvl w:val="0"/>
                <w:numId w:val="0"/>
              </w:numPr>
              <w:ind w:right="-80" w:leftChars="0" w:rightChars="-38"/>
              <w:jc w:val="left"/>
              <w:rPr>
                <w:sz w:val="24"/>
                <w:szCs w:val="24"/>
              </w:rPr>
            </w:pPr>
            <w:r>
              <w:rPr>
                <w:rFonts w:hint="eastAsia"/>
                <w:sz w:val="24"/>
                <w:szCs w:val="24"/>
                <w:lang w:val="en-US" w:eastAsia="zh-CN"/>
              </w:rPr>
              <w:t>五、商务</w:t>
            </w:r>
            <w:r>
              <w:rPr>
                <w:rFonts w:hint="eastAsia"/>
                <w:sz w:val="24"/>
                <w:szCs w:val="24"/>
              </w:rPr>
              <w:t>要求</w:t>
            </w:r>
          </w:p>
          <w:p>
            <w:pPr>
              <w:ind w:left="-78" w:right="-80" w:leftChars="-37" w:rightChars="-38"/>
              <w:jc w:val="left"/>
              <w:rPr>
                <w:rFonts w:ascii="宋体" w:hAnsi="宋体" w:hint="eastAsia"/>
                <w:sz w:val="24"/>
              </w:rPr>
            </w:pPr>
            <w:r>
              <w:rPr>
                <w:rFonts w:ascii="宋体" w:hAnsi="宋体" w:hint="eastAsia"/>
                <w:sz w:val="24"/>
              </w:rPr>
              <w:t>（五）★保密要求</w:t>
            </w:r>
          </w:p>
          <w:p>
            <w:pPr>
              <w:ind w:left="-78" w:right="-80" w:leftChars="-37" w:rightChars="-38"/>
              <w:jc w:val="left"/>
              <w:rPr>
                <w:rFonts w:ascii="宋体" w:hAnsi="宋体"/>
                <w:sz w:val="24"/>
              </w:rPr>
            </w:pPr>
            <w:r>
              <w:rPr>
                <w:rFonts w:ascii="宋体" w:hAnsi="宋体" w:hint="eastAsia"/>
                <w:sz w:val="24"/>
              </w:rPr>
              <w:t>由采购人收集的、开发的、整理的、复制的、研究的和准备的与本合同项下工作有关的所有资料在提供给中标人时，均被视为保密的，不得泄漏给除采购人或其指定的代表之外的任何人、企业或公司，不管本合同因何种原因终止，本条款一直约束中标人；中标人在履行合同过程中所获得或接触到的任何内部数据资料，未经采购人同意，不得向第三方透露；中标人实施项目的一切程序都应符合国家安全、保密的有关规定和招标文件、中标人投标文件，国家和行业有关规范、规程和标准。</w:t>
            </w:r>
          </w:p>
        </w:tc>
        <w:tc>
          <w:tcPr>
            <w:tcW w:w="2531" w:type="dxa"/>
            <w:vAlign w:val="center"/>
          </w:tcPr>
          <w:p>
            <w:pPr>
              <w:ind w:left="-78" w:right="-80" w:leftChars="-37" w:rightChars="-38"/>
              <w:jc w:val="center"/>
              <w:rPr>
                <w:rFonts w:ascii="宋体" w:hAnsi="宋体"/>
                <w:sz w:val="24"/>
              </w:rPr>
            </w:pPr>
          </w:p>
        </w:tc>
        <w:tc>
          <w:tcPr>
            <w:tcW w:w="2003" w:type="dxa"/>
            <w:tcBorders>
              <w:right w:val="single" w:sz="2" w:space="0" w:color="auto"/>
            </w:tcBorders>
            <w:vAlign w:val="center"/>
          </w:tcPr>
          <w:p>
            <w:pPr>
              <w:ind w:left="-78" w:right="-80" w:leftChars="-37" w:rightChars="-38"/>
              <w:jc w:val="center"/>
              <w:rPr>
                <w:rFonts w:ascii="宋体" w:hAnsi="宋体"/>
                <w:sz w:val="24"/>
              </w:rPr>
            </w:pPr>
          </w:p>
        </w:tc>
        <w:tc>
          <w:tcPr>
            <w:tcW w:w="1440" w:type="dxa"/>
            <w:tcBorders>
              <w:left w:val="single" w:sz="2" w:space="0" w:color="auto"/>
            </w:tcBorders>
            <w:vAlign w:val="center"/>
          </w:tcPr>
          <w:p>
            <w:pPr>
              <w:ind w:left="-78" w:right="-80" w:leftChars="-37" w:rightChars="-38"/>
              <w:jc w:val="center"/>
              <w:rPr>
                <w:rFonts w:ascii="宋体" w:hAnsi="宋体"/>
                <w:sz w:val="24"/>
              </w:rPr>
            </w:pPr>
          </w:p>
        </w:tc>
      </w:tr>
      <w:tr>
        <w:tblPrEx>
          <w:tblW w:w="9000" w:type="dxa"/>
          <w:tblInd w:w="288" w:type="dxa"/>
          <w:tblLayout w:type="fixed"/>
          <w:tblCellMar>
            <w:top w:w="0" w:type="dxa"/>
            <w:left w:w="108" w:type="dxa"/>
            <w:bottom w:w="0" w:type="dxa"/>
            <w:right w:w="108" w:type="dxa"/>
          </w:tblCellMar>
        </w:tblPrEx>
        <w:tc>
          <w:tcPr>
            <w:tcW w:w="496" w:type="dxa"/>
            <w:vAlign w:val="center"/>
          </w:tcPr>
          <w:p>
            <w:pPr>
              <w:numPr>
                <w:ilvl w:val="0"/>
                <w:numId w:val="79"/>
              </w:numPr>
              <w:jc w:val="center"/>
              <w:rPr>
                <w:rFonts w:ascii="宋体" w:hAnsi="宋体"/>
                <w:sz w:val="24"/>
              </w:rPr>
            </w:pPr>
          </w:p>
        </w:tc>
        <w:tc>
          <w:tcPr>
            <w:tcW w:w="2530" w:type="dxa"/>
            <w:vAlign w:val="center"/>
          </w:tcPr>
          <w:p>
            <w:pPr>
              <w:numPr>
                <w:ilvl w:val="0"/>
                <w:numId w:val="0"/>
              </w:numPr>
              <w:ind w:right="-80" w:leftChars="0" w:rightChars="-38"/>
              <w:jc w:val="left"/>
              <w:rPr>
                <w:sz w:val="24"/>
                <w:szCs w:val="24"/>
              </w:rPr>
            </w:pPr>
            <w:r>
              <w:rPr>
                <w:rFonts w:hint="eastAsia"/>
                <w:sz w:val="24"/>
                <w:szCs w:val="24"/>
                <w:lang w:val="en-US" w:eastAsia="zh-CN"/>
              </w:rPr>
              <w:t>五、商务</w:t>
            </w:r>
            <w:r>
              <w:rPr>
                <w:rFonts w:hint="eastAsia"/>
                <w:sz w:val="24"/>
                <w:szCs w:val="24"/>
              </w:rPr>
              <w:t>要求</w:t>
            </w:r>
          </w:p>
          <w:p>
            <w:pPr>
              <w:ind w:left="-78" w:right="-80" w:leftChars="-37" w:rightChars="-38"/>
              <w:jc w:val="left"/>
              <w:rPr>
                <w:rFonts w:ascii="宋体" w:hAnsi="宋体" w:hint="eastAsia"/>
                <w:sz w:val="24"/>
              </w:rPr>
            </w:pPr>
            <w:r>
              <w:rPr>
                <w:rFonts w:ascii="宋体" w:hAnsi="宋体" w:hint="eastAsia"/>
                <w:sz w:val="24"/>
              </w:rPr>
              <w:t>（六）★售后服务要求</w:t>
            </w:r>
          </w:p>
          <w:p>
            <w:pPr>
              <w:ind w:left="-78" w:right="-80" w:leftChars="-37" w:rightChars="-38"/>
              <w:jc w:val="left"/>
              <w:rPr>
                <w:rFonts w:ascii="宋体" w:hAnsi="宋体"/>
                <w:sz w:val="24"/>
              </w:rPr>
            </w:pPr>
            <w:r>
              <w:rPr>
                <w:rFonts w:ascii="宋体" w:hAnsi="宋体" w:hint="eastAsia"/>
                <w:sz w:val="24"/>
              </w:rPr>
              <w:t>售后服务期为支付合同尾款后的12个月，在售后服务期限内提供数据更新、报告修改、相关咨询、协调和项目审查等技术支持。</w:t>
            </w:r>
          </w:p>
        </w:tc>
        <w:tc>
          <w:tcPr>
            <w:tcW w:w="2531" w:type="dxa"/>
            <w:vAlign w:val="center"/>
          </w:tcPr>
          <w:p>
            <w:pPr>
              <w:ind w:left="-78" w:right="-80" w:leftChars="-37" w:rightChars="-38"/>
              <w:jc w:val="center"/>
              <w:rPr>
                <w:rFonts w:ascii="宋体" w:hAnsi="宋体"/>
                <w:sz w:val="24"/>
              </w:rPr>
            </w:pPr>
          </w:p>
        </w:tc>
        <w:tc>
          <w:tcPr>
            <w:tcW w:w="2003" w:type="dxa"/>
            <w:tcBorders>
              <w:right w:val="single" w:sz="2" w:space="0" w:color="auto"/>
            </w:tcBorders>
            <w:vAlign w:val="center"/>
          </w:tcPr>
          <w:p>
            <w:pPr>
              <w:ind w:left="-78" w:right="-80" w:leftChars="-37" w:rightChars="-38"/>
              <w:jc w:val="center"/>
              <w:rPr>
                <w:rFonts w:ascii="宋体" w:hAnsi="宋体"/>
                <w:sz w:val="24"/>
              </w:rPr>
            </w:pPr>
          </w:p>
        </w:tc>
        <w:tc>
          <w:tcPr>
            <w:tcW w:w="1440" w:type="dxa"/>
            <w:tcBorders>
              <w:left w:val="single" w:sz="2" w:space="0" w:color="auto"/>
            </w:tcBorders>
            <w:vAlign w:val="center"/>
          </w:tcPr>
          <w:p>
            <w:pPr>
              <w:ind w:left="-78" w:right="-80" w:leftChars="-37" w:rightChars="-38"/>
              <w:jc w:val="center"/>
              <w:rPr>
                <w:rFonts w:ascii="宋体" w:hAnsi="宋体"/>
                <w:sz w:val="24"/>
              </w:rPr>
            </w:pPr>
          </w:p>
        </w:tc>
      </w:tr>
      <w:tr>
        <w:tblPrEx>
          <w:tblW w:w="9000" w:type="dxa"/>
          <w:tblInd w:w="288" w:type="dxa"/>
          <w:tblLayout w:type="fixed"/>
          <w:tblCellMar>
            <w:top w:w="0" w:type="dxa"/>
            <w:left w:w="108" w:type="dxa"/>
            <w:bottom w:w="0" w:type="dxa"/>
            <w:right w:w="108" w:type="dxa"/>
          </w:tblCellMar>
        </w:tblPrEx>
        <w:tc>
          <w:tcPr>
            <w:tcW w:w="496" w:type="dxa"/>
            <w:vAlign w:val="center"/>
          </w:tcPr>
          <w:p>
            <w:pPr>
              <w:numPr>
                <w:ilvl w:val="0"/>
                <w:numId w:val="79"/>
              </w:numPr>
              <w:jc w:val="center"/>
              <w:rPr>
                <w:rFonts w:ascii="宋体" w:hAnsi="宋体"/>
                <w:sz w:val="24"/>
              </w:rPr>
            </w:pPr>
          </w:p>
        </w:tc>
        <w:tc>
          <w:tcPr>
            <w:tcW w:w="2530" w:type="dxa"/>
            <w:vAlign w:val="center"/>
          </w:tcPr>
          <w:p>
            <w:pPr>
              <w:numPr>
                <w:ilvl w:val="0"/>
                <w:numId w:val="0"/>
              </w:numPr>
              <w:ind w:right="-80" w:leftChars="0" w:rightChars="-38"/>
              <w:jc w:val="left"/>
              <w:rPr>
                <w:sz w:val="24"/>
                <w:szCs w:val="24"/>
              </w:rPr>
            </w:pPr>
            <w:r>
              <w:rPr>
                <w:rFonts w:hint="eastAsia"/>
                <w:sz w:val="24"/>
                <w:szCs w:val="24"/>
                <w:lang w:val="en-US" w:eastAsia="zh-CN"/>
              </w:rPr>
              <w:t>五、商务</w:t>
            </w:r>
            <w:r>
              <w:rPr>
                <w:rFonts w:hint="eastAsia"/>
                <w:sz w:val="24"/>
                <w:szCs w:val="24"/>
              </w:rPr>
              <w:t>要求</w:t>
            </w:r>
          </w:p>
          <w:p>
            <w:pPr>
              <w:ind w:left="-78" w:right="-80" w:leftChars="-37" w:rightChars="-38"/>
              <w:jc w:val="left"/>
              <w:rPr>
                <w:rFonts w:ascii="宋体" w:hAnsi="宋体" w:hint="eastAsia"/>
                <w:sz w:val="24"/>
              </w:rPr>
            </w:pPr>
            <w:r>
              <w:rPr>
                <w:rFonts w:ascii="宋体" w:hAnsi="宋体" w:hint="eastAsia"/>
                <w:sz w:val="24"/>
              </w:rPr>
              <w:t>（七）★违约责任</w:t>
            </w:r>
            <w:r>
              <w:rPr>
                <w:rFonts w:ascii="宋体" w:hAnsi="宋体" w:hint="eastAsia"/>
                <w:sz w:val="24"/>
              </w:rPr>
              <w:tab/>
            </w:r>
          </w:p>
          <w:p>
            <w:pPr>
              <w:ind w:left="-78" w:right="-80" w:leftChars="-37" w:rightChars="-38"/>
              <w:jc w:val="left"/>
              <w:rPr>
                <w:rFonts w:ascii="宋体" w:hAnsi="宋体"/>
                <w:sz w:val="24"/>
              </w:rPr>
            </w:pPr>
            <w:r>
              <w:rPr>
                <w:rFonts w:ascii="宋体" w:hAnsi="宋体" w:hint="eastAsia"/>
                <w:sz w:val="24"/>
              </w:rPr>
              <w:t>因中标人原因，未能按规定时间完成有关工作的，每延误一天，采购人可在支付合同余款中扣除合同价款千分之一；如中标人提供的技术服务文件不符合质量要求，必须在采购人提出要求后7个工作日内无条件修改，其费用由中标人承担。</w:t>
            </w:r>
          </w:p>
        </w:tc>
        <w:tc>
          <w:tcPr>
            <w:tcW w:w="2531" w:type="dxa"/>
            <w:vAlign w:val="center"/>
          </w:tcPr>
          <w:p>
            <w:pPr>
              <w:ind w:left="-78" w:right="-80" w:leftChars="-37" w:rightChars="-38"/>
              <w:jc w:val="center"/>
              <w:rPr>
                <w:rFonts w:ascii="宋体" w:hAnsi="宋体"/>
                <w:sz w:val="24"/>
              </w:rPr>
            </w:pPr>
          </w:p>
        </w:tc>
        <w:tc>
          <w:tcPr>
            <w:tcW w:w="2003" w:type="dxa"/>
            <w:tcBorders>
              <w:right w:val="single" w:sz="2" w:space="0" w:color="auto"/>
            </w:tcBorders>
            <w:vAlign w:val="center"/>
          </w:tcPr>
          <w:p>
            <w:pPr>
              <w:ind w:left="-78" w:right="-80" w:leftChars="-37" w:rightChars="-38"/>
              <w:jc w:val="center"/>
              <w:rPr>
                <w:rFonts w:ascii="宋体" w:hAnsi="宋体"/>
                <w:sz w:val="24"/>
              </w:rPr>
            </w:pPr>
          </w:p>
        </w:tc>
        <w:tc>
          <w:tcPr>
            <w:tcW w:w="1440" w:type="dxa"/>
            <w:tcBorders>
              <w:left w:val="single" w:sz="2" w:space="0" w:color="auto"/>
            </w:tcBorders>
            <w:vAlign w:val="center"/>
          </w:tcPr>
          <w:p>
            <w:pPr>
              <w:ind w:left="-78" w:right="-80" w:leftChars="-37" w:rightChars="-38"/>
              <w:jc w:val="center"/>
              <w:rPr>
                <w:rFonts w:ascii="宋体" w:hAnsi="宋体"/>
                <w:sz w:val="24"/>
              </w:rPr>
            </w:pPr>
          </w:p>
        </w:tc>
      </w:tr>
      <w:tr>
        <w:tblPrEx>
          <w:tblW w:w="9000" w:type="dxa"/>
          <w:tblInd w:w="288" w:type="dxa"/>
          <w:tblLayout w:type="fixed"/>
          <w:tblCellMar>
            <w:top w:w="0" w:type="dxa"/>
            <w:left w:w="108" w:type="dxa"/>
            <w:bottom w:w="0" w:type="dxa"/>
            <w:right w:w="108" w:type="dxa"/>
          </w:tblCellMar>
        </w:tblPrEx>
        <w:tc>
          <w:tcPr>
            <w:tcW w:w="496" w:type="dxa"/>
            <w:vAlign w:val="center"/>
          </w:tcPr>
          <w:p>
            <w:pPr>
              <w:numPr>
                <w:ilvl w:val="0"/>
                <w:numId w:val="79"/>
              </w:numPr>
              <w:jc w:val="center"/>
              <w:rPr>
                <w:rFonts w:ascii="宋体" w:hAnsi="宋体"/>
                <w:sz w:val="24"/>
              </w:rPr>
            </w:pPr>
          </w:p>
        </w:tc>
        <w:tc>
          <w:tcPr>
            <w:tcW w:w="2530" w:type="dxa"/>
            <w:vAlign w:val="center"/>
          </w:tcPr>
          <w:p>
            <w:pPr>
              <w:numPr>
                <w:ilvl w:val="0"/>
                <w:numId w:val="0"/>
              </w:numPr>
              <w:ind w:right="-80" w:leftChars="0" w:rightChars="-38"/>
              <w:jc w:val="left"/>
              <w:rPr>
                <w:sz w:val="24"/>
                <w:szCs w:val="24"/>
              </w:rPr>
            </w:pPr>
            <w:r>
              <w:rPr>
                <w:rFonts w:hint="eastAsia"/>
                <w:sz w:val="24"/>
                <w:szCs w:val="24"/>
                <w:lang w:val="en-US" w:eastAsia="zh-CN"/>
              </w:rPr>
              <w:t>五、商务</w:t>
            </w:r>
            <w:r>
              <w:rPr>
                <w:rFonts w:hint="eastAsia"/>
                <w:sz w:val="24"/>
                <w:szCs w:val="24"/>
              </w:rPr>
              <w:t>要求</w:t>
            </w:r>
          </w:p>
          <w:p>
            <w:pPr>
              <w:ind w:left="-78" w:right="-80" w:leftChars="-37" w:rightChars="-38"/>
              <w:jc w:val="left"/>
              <w:rPr>
                <w:rFonts w:ascii="宋体" w:hAnsi="宋体" w:hint="eastAsia"/>
                <w:sz w:val="24"/>
              </w:rPr>
            </w:pPr>
            <w:r>
              <w:rPr>
                <w:rFonts w:ascii="宋体" w:hAnsi="宋体" w:hint="eastAsia"/>
                <w:sz w:val="24"/>
                <w:lang w:eastAsia="zh-CN"/>
              </w:rPr>
              <w:t>（</w:t>
            </w:r>
            <w:r>
              <w:rPr>
                <w:rFonts w:ascii="宋体" w:hAnsi="宋体" w:hint="eastAsia"/>
                <w:sz w:val="24"/>
                <w:lang w:val="en-US" w:eastAsia="zh-CN"/>
              </w:rPr>
              <w:t>十四）</w:t>
            </w:r>
            <w:r>
              <w:rPr>
                <w:rFonts w:ascii="宋体" w:hAnsi="宋体" w:hint="eastAsia"/>
                <w:sz w:val="24"/>
              </w:rPr>
              <w:t>★知识产权</w:t>
            </w:r>
            <w:r>
              <w:rPr>
                <w:rFonts w:ascii="宋体" w:hAnsi="宋体" w:hint="eastAsia"/>
                <w:sz w:val="24"/>
              </w:rPr>
              <w:tab/>
            </w:r>
          </w:p>
          <w:p>
            <w:pPr>
              <w:ind w:left="-78" w:right="-80" w:leftChars="-37" w:rightChars="-38"/>
              <w:jc w:val="left"/>
              <w:rPr>
                <w:rFonts w:ascii="宋体" w:hAnsi="宋体" w:hint="eastAsia"/>
                <w:sz w:val="24"/>
              </w:rPr>
            </w:pPr>
            <w:r>
              <w:rPr>
                <w:rFonts w:ascii="宋体" w:hAnsi="宋体" w:hint="eastAsia"/>
                <w:sz w:val="24"/>
              </w:rPr>
              <w:t>中标人在履行合同的过程中不得侵犯他人知识产权，不得提供虚假知识产权申请材料或者违背知识产权合规性承诺，否则依法追究其违约等责任，并将其失信违法信息依法纳入公共信用信息系统。</w:t>
            </w:r>
          </w:p>
          <w:p>
            <w:pPr>
              <w:ind w:left="-78" w:right="-80" w:leftChars="-37" w:rightChars="-38"/>
              <w:jc w:val="left"/>
              <w:rPr>
                <w:rFonts w:ascii="宋体" w:hAnsi="宋体"/>
                <w:sz w:val="24"/>
              </w:rPr>
            </w:pPr>
            <w:r>
              <w:rPr>
                <w:rFonts w:ascii="宋体" w:hAnsi="宋体" w:hint="eastAsia"/>
                <w:sz w:val="24"/>
              </w:rPr>
              <w:t>中标人应保证采购人在使用该项目成果或其任何一部分时免受第三方提出侵犯其专利、商标、版权等知识产权或商品名称及其他权利的起诉及索赔。若采购人因此被第三方起诉或以其它方式追究责任，中标人应赔偿因采购人被第三方索赔所引起的一切损失，包括但不限于采购人所支付的侵权损害赔偿费、律师费、诉讼费、仲裁费、办案差旅费等因应诉、沟通协调所发的一切费用。</w:t>
            </w:r>
          </w:p>
        </w:tc>
        <w:tc>
          <w:tcPr>
            <w:tcW w:w="2531" w:type="dxa"/>
            <w:vAlign w:val="center"/>
          </w:tcPr>
          <w:p>
            <w:pPr>
              <w:ind w:left="-78" w:right="-80" w:leftChars="-37" w:rightChars="-38"/>
              <w:jc w:val="center"/>
              <w:rPr>
                <w:rFonts w:ascii="宋体" w:hAnsi="宋体"/>
                <w:sz w:val="24"/>
              </w:rPr>
            </w:pPr>
          </w:p>
        </w:tc>
        <w:tc>
          <w:tcPr>
            <w:tcW w:w="2003" w:type="dxa"/>
            <w:tcBorders>
              <w:right w:val="single" w:sz="2" w:space="0" w:color="auto"/>
            </w:tcBorders>
            <w:vAlign w:val="center"/>
          </w:tcPr>
          <w:p>
            <w:pPr>
              <w:ind w:left="-78" w:right="-80" w:leftChars="-37" w:rightChars="-38"/>
              <w:jc w:val="center"/>
              <w:rPr>
                <w:rFonts w:ascii="宋体" w:hAnsi="宋体"/>
                <w:sz w:val="24"/>
              </w:rPr>
            </w:pPr>
          </w:p>
        </w:tc>
        <w:tc>
          <w:tcPr>
            <w:tcW w:w="1440" w:type="dxa"/>
            <w:tcBorders>
              <w:left w:val="single" w:sz="2" w:space="0" w:color="auto"/>
            </w:tcBorders>
            <w:vAlign w:val="center"/>
          </w:tcPr>
          <w:p>
            <w:pPr>
              <w:ind w:left="-78" w:right="-80" w:leftChars="-37" w:rightChars="-38"/>
              <w:jc w:val="center"/>
              <w:rPr>
                <w:rFonts w:ascii="宋体" w:hAnsi="宋体"/>
                <w:sz w:val="24"/>
              </w:rPr>
            </w:pPr>
          </w:p>
        </w:tc>
      </w:tr>
      <w:tr>
        <w:tblPrEx>
          <w:tblW w:w="9000" w:type="dxa"/>
          <w:tblInd w:w="288" w:type="dxa"/>
          <w:tblLayout w:type="fixed"/>
          <w:tblCellMar>
            <w:top w:w="0" w:type="dxa"/>
            <w:left w:w="108" w:type="dxa"/>
            <w:bottom w:w="0" w:type="dxa"/>
            <w:right w:w="108" w:type="dxa"/>
          </w:tblCellMar>
        </w:tblPrEx>
        <w:tc>
          <w:tcPr>
            <w:tcW w:w="496" w:type="dxa"/>
            <w:vAlign w:val="center"/>
          </w:tcPr>
          <w:p>
            <w:pPr>
              <w:numPr>
                <w:ilvl w:val="0"/>
                <w:numId w:val="79"/>
              </w:numPr>
              <w:jc w:val="center"/>
              <w:rPr>
                <w:rFonts w:ascii="宋体" w:hAnsi="宋体"/>
                <w:sz w:val="24"/>
              </w:rPr>
            </w:pPr>
          </w:p>
        </w:tc>
        <w:tc>
          <w:tcPr>
            <w:tcW w:w="2530" w:type="dxa"/>
            <w:vAlign w:val="center"/>
          </w:tcPr>
          <w:p>
            <w:pPr>
              <w:numPr>
                <w:ilvl w:val="0"/>
                <w:numId w:val="0"/>
              </w:numPr>
              <w:ind w:right="-80" w:leftChars="0" w:rightChars="-38"/>
              <w:jc w:val="left"/>
              <w:rPr>
                <w:sz w:val="24"/>
                <w:szCs w:val="24"/>
              </w:rPr>
            </w:pPr>
            <w:r>
              <w:rPr>
                <w:rFonts w:hint="eastAsia"/>
                <w:sz w:val="24"/>
                <w:szCs w:val="24"/>
                <w:lang w:val="en-US" w:eastAsia="zh-CN"/>
              </w:rPr>
              <w:t>五、商务</w:t>
            </w:r>
            <w:r>
              <w:rPr>
                <w:rFonts w:hint="eastAsia"/>
                <w:sz w:val="24"/>
                <w:szCs w:val="24"/>
              </w:rPr>
              <w:t>要求</w:t>
            </w:r>
          </w:p>
          <w:p>
            <w:pPr>
              <w:ind w:left="-78" w:right="-80" w:leftChars="-37" w:rightChars="-38"/>
              <w:jc w:val="left"/>
              <w:rPr>
                <w:rFonts w:ascii="宋体" w:hAnsi="宋体" w:hint="eastAsia"/>
                <w:sz w:val="24"/>
              </w:rPr>
            </w:pPr>
            <w:r>
              <w:rPr>
                <w:rFonts w:ascii="宋体" w:hAnsi="宋体" w:hint="eastAsia"/>
                <w:sz w:val="24"/>
              </w:rPr>
              <w:t>（十七）其他</w:t>
            </w:r>
          </w:p>
          <w:p>
            <w:pPr>
              <w:ind w:left="-78" w:right="-80" w:leftChars="-37" w:rightChars="-38"/>
              <w:jc w:val="left"/>
              <w:rPr>
                <w:rFonts w:ascii="宋体" w:hAnsi="宋体" w:hint="eastAsia"/>
                <w:sz w:val="24"/>
              </w:rPr>
            </w:pPr>
            <w:r>
              <w:rPr>
                <w:rFonts w:ascii="宋体" w:hAnsi="宋体" w:hint="eastAsia"/>
                <w:sz w:val="24"/>
              </w:rPr>
              <w:t>★在合同履行期间，如出现因违法经营受到刑事处罚或者责令停产停业、吊销许可证或者执照、较大数额罚款等行政处罚，导致不满足《中华人民共和国政府采购法》第二十二条供应商要求的，一经查证属实，采购人有权单方解除协议（合同）或不予续签下一年度合同，且无需承担任何违约责任。</w:t>
            </w:r>
          </w:p>
        </w:tc>
        <w:tc>
          <w:tcPr>
            <w:tcW w:w="2531" w:type="dxa"/>
            <w:vAlign w:val="center"/>
          </w:tcPr>
          <w:p>
            <w:pPr>
              <w:ind w:left="-78" w:right="-80" w:leftChars="-37" w:rightChars="-38"/>
              <w:jc w:val="center"/>
              <w:rPr>
                <w:rFonts w:ascii="宋体" w:hAnsi="宋体"/>
                <w:sz w:val="24"/>
              </w:rPr>
            </w:pPr>
          </w:p>
        </w:tc>
        <w:tc>
          <w:tcPr>
            <w:tcW w:w="2003" w:type="dxa"/>
            <w:tcBorders>
              <w:right w:val="single" w:sz="2" w:space="0" w:color="auto"/>
            </w:tcBorders>
            <w:vAlign w:val="center"/>
          </w:tcPr>
          <w:p>
            <w:pPr>
              <w:ind w:left="-78" w:right="-80" w:leftChars="-37" w:rightChars="-38"/>
              <w:jc w:val="center"/>
              <w:rPr>
                <w:rFonts w:ascii="宋体" w:hAnsi="宋体"/>
                <w:sz w:val="24"/>
              </w:rPr>
            </w:pPr>
          </w:p>
        </w:tc>
        <w:tc>
          <w:tcPr>
            <w:tcW w:w="1440" w:type="dxa"/>
            <w:tcBorders>
              <w:left w:val="single" w:sz="2" w:space="0" w:color="auto"/>
            </w:tcBorders>
            <w:vAlign w:val="center"/>
          </w:tcPr>
          <w:p>
            <w:pPr>
              <w:ind w:left="-78" w:right="-80" w:leftChars="-37" w:rightChars="-38"/>
              <w:jc w:val="center"/>
              <w:rPr>
                <w:rFonts w:ascii="宋体" w:hAnsi="宋体"/>
                <w:sz w:val="24"/>
              </w:rPr>
            </w:pPr>
          </w:p>
        </w:tc>
      </w:tr>
    </w:tbl>
    <w:p>
      <w:pPr>
        <w:adjustRightInd w:val="0"/>
        <w:snapToGrid w:val="0"/>
        <w:spacing w:line="460" w:lineRule="exact"/>
        <w:ind w:left="225" w:leftChars="107"/>
        <w:rPr>
          <w:rFonts w:ascii="宋体" w:hAnsi="宋体"/>
          <w:sz w:val="24"/>
        </w:rPr>
      </w:pPr>
      <w:r>
        <w:rPr>
          <w:rFonts w:ascii="宋体" w:hAnsi="宋体" w:hint="eastAsia"/>
          <w:sz w:val="24"/>
        </w:rPr>
        <w:t>备注：</w:t>
      </w:r>
    </w:p>
    <w:p>
      <w:pPr>
        <w:adjustRightInd w:val="0"/>
        <w:snapToGrid w:val="0"/>
        <w:spacing w:line="460" w:lineRule="exact"/>
        <w:ind w:left="225" w:leftChars="107"/>
        <w:rPr>
          <w:rFonts w:ascii="宋体" w:hAnsi="宋体"/>
          <w:sz w:val="24"/>
        </w:rPr>
      </w:pPr>
      <w:r>
        <w:rPr>
          <w:rFonts w:ascii="宋体" w:hAnsi="宋体" w:hint="eastAsia"/>
          <w:sz w:val="24"/>
        </w:rPr>
        <w:t>1、本表中“招标文件条款描述”的条款与用户需求中的条款描述不一致的以用户需求中规定的为准。</w:t>
      </w:r>
    </w:p>
    <w:p>
      <w:pPr>
        <w:adjustRightInd w:val="0"/>
        <w:snapToGrid w:val="0"/>
        <w:spacing w:line="460" w:lineRule="exact"/>
        <w:ind w:left="225" w:leftChars="107"/>
        <w:rPr>
          <w:rFonts w:asciiTheme="minorEastAsia" w:eastAsiaTheme="minorEastAsia" w:hAnsiTheme="minorEastAsia"/>
          <w:b/>
          <w:bCs/>
          <w:sz w:val="24"/>
        </w:rPr>
      </w:pPr>
      <w:r>
        <w:rPr>
          <w:rFonts w:ascii="宋体" w:hAnsi="宋体" w:hint="eastAsia"/>
          <w:sz w:val="24"/>
        </w:rPr>
        <w:t>2、投标人必须按招标文件要求附相关证明文件，</w:t>
      </w:r>
      <w:r>
        <w:rPr>
          <w:rFonts w:asciiTheme="minorEastAsia" w:eastAsiaTheme="minorEastAsia" w:hAnsiTheme="minorEastAsia" w:hint="eastAsia"/>
          <w:b/>
          <w:bCs/>
          <w:sz w:val="24"/>
        </w:rPr>
        <w:t>如未按招标文件要求提供相关证明资料或有任何一条负偏离则导致无效投标。</w:t>
      </w:r>
    </w:p>
    <w:p>
      <w:pPr>
        <w:adjustRightInd w:val="0"/>
        <w:snapToGrid w:val="0"/>
        <w:spacing w:line="460" w:lineRule="exact"/>
        <w:ind w:left="225" w:leftChars="107"/>
        <w:rPr>
          <w:rFonts w:ascii="宋体" w:hAnsi="宋体"/>
          <w:sz w:val="24"/>
        </w:rPr>
      </w:pPr>
      <w:r>
        <w:rPr>
          <w:rFonts w:ascii="宋体" w:hAnsi="宋体" w:hint="eastAsia"/>
          <w:sz w:val="24"/>
        </w:rPr>
        <w:t>3、投标人应在“说明”一栏中列出技术参数的证明资料（如有）名称，并指明该证明资料在投标文件中的具体位置。</w:t>
      </w:r>
    </w:p>
    <w:p>
      <w:pPr>
        <w:adjustRightInd w:val="0"/>
        <w:snapToGrid w:val="0"/>
        <w:spacing w:line="460" w:lineRule="exact"/>
        <w:ind w:left="225" w:leftChars="107"/>
        <w:rPr>
          <w:rFonts w:asciiTheme="minorEastAsia" w:eastAsiaTheme="minorEastAsia" w:hAnsiTheme="minorEastAsia"/>
          <w:b/>
          <w:bCs/>
          <w:sz w:val="24"/>
        </w:rPr>
      </w:pPr>
    </w:p>
    <w:p>
      <w:pPr>
        <w:adjustRightInd w:val="0"/>
        <w:snapToGrid w:val="0"/>
        <w:spacing w:line="460" w:lineRule="exact"/>
        <w:ind w:left="826" w:hanging="601" w:leftChars="107" w:hangingChars="286"/>
        <w:rPr>
          <w:spacing w:val="4"/>
        </w:rPr>
      </w:pPr>
    </w:p>
    <w:p>
      <w:pPr>
        <w:spacing w:line="440" w:lineRule="exact"/>
        <w:rPr>
          <w:rFonts w:ascii="黑体" w:eastAsia="黑体"/>
          <w:b/>
          <w:bCs/>
          <w:sz w:val="28"/>
        </w:rPr>
      </w:pPr>
    </w:p>
    <w:p>
      <w:pPr>
        <w:widowControl/>
        <w:jc w:val="left"/>
        <w:rPr>
          <w:rFonts w:ascii="宋体" w:hAnsi="宋体"/>
          <w:sz w:val="24"/>
        </w:rPr>
      </w:pPr>
      <w:r>
        <w:rPr>
          <w:rFonts w:ascii="宋体" w:hAnsi="宋体"/>
          <w:sz w:val="24"/>
        </w:rPr>
        <w:br w:type="page"/>
      </w:r>
    </w:p>
    <w:p>
      <w:pPr>
        <w:pStyle w:val="Heading2"/>
        <w:numPr>
          <w:ilvl w:val="0"/>
          <w:numId w:val="72"/>
        </w:numPr>
        <w:spacing w:line="240" w:lineRule="auto"/>
        <w:jc w:val="center"/>
        <w:rPr>
          <w:b w:val="0"/>
        </w:rPr>
      </w:pPr>
      <w:bookmarkStart w:id="276" w:name="_Toc26894"/>
      <w:bookmarkStart w:id="277" w:name="_Toc30664884"/>
      <w:bookmarkStart w:id="278" w:name="_Toc20053"/>
      <w:bookmarkStart w:id="279" w:name="_Toc256000048"/>
      <w:r>
        <w:rPr>
          <w:rFonts w:hint="eastAsia"/>
          <w:b w:val="0"/>
        </w:rPr>
        <w:t>技术规格偏离表</w:t>
      </w:r>
      <w:bookmarkEnd w:id="279"/>
      <w:bookmarkEnd w:id="276"/>
    </w:p>
    <w:p>
      <w:pPr>
        <w:spacing w:line="400" w:lineRule="exact"/>
        <w:ind w:left="945" w:hanging="735" w:leftChars="100" w:hangingChars="350"/>
        <w:jc w:val="center"/>
        <w:rPr>
          <w:rFonts w:ascii="宋体" w:hAnsi="宋体"/>
          <w:b/>
          <w:bCs/>
          <w:sz w:val="36"/>
          <w:szCs w:val="36"/>
        </w:rPr>
      </w:pPr>
      <w:r>
        <w:rPr>
          <w:rFonts w:ascii="宋体" w:hAnsi="宋体" w:hint="eastAsia"/>
          <w:b/>
          <w:bCs/>
          <w:sz w:val="36"/>
          <w:szCs w:val="36"/>
        </w:rPr>
        <w:t>（非信息公开部分）</w:t>
      </w:r>
    </w:p>
    <w:p>
      <w:pPr>
        <w:spacing w:line="400" w:lineRule="exact"/>
        <w:rPr>
          <w:rFonts w:ascii="宋体" w:hAnsi="宋体"/>
          <w:color w:val="auto"/>
          <w:sz w:val="24"/>
        </w:rPr>
      </w:pPr>
      <w:r>
        <w:rPr>
          <w:rFonts w:ascii="宋体" w:hAnsi="宋体" w:hint="eastAsia"/>
          <w:sz w:val="24"/>
        </w:rPr>
        <w:t>说明：投标人必须对应招标文件</w:t>
      </w:r>
      <w:r>
        <w:rPr>
          <w:rFonts w:ascii="宋体" w:hAnsi="宋体" w:hint="eastAsia"/>
          <w:b/>
          <w:bCs/>
          <w:sz w:val="24"/>
        </w:rPr>
        <w:t>第二</w:t>
      </w:r>
      <w:r>
        <w:rPr>
          <w:rFonts w:ascii="宋体" w:hAnsi="宋体" w:hint="eastAsia"/>
          <w:b/>
          <w:bCs/>
          <w:color w:val="auto"/>
          <w:sz w:val="24"/>
        </w:rPr>
        <w:t>章用户需求书</w:t>
      </w:r>
      <w:r>
        <w:rPr>
          <w:rFonts w:ascii="宋体" w:hAnsi="宋体" w:hint="eastAsia"/>
          <w:color w:val="auto"/>
          <w:sz w:val="24"/>
        </w:rPr>
        <w:t>条款逐条应答并按要求填写下表。</w:t>
      </w:r>
    </w:p>
    <w:p>
      <w:pPr>
        <w:widowControl/>
        <w:wordWrap w:val="0"/>
        <w:spacing w:line="360" w:lineRule="auto"/>
        <w:jc w:val="left"/>
        <w:rPr>
          <w:rFonts w:ascii="宋体" w:hAnsi="宋体"/>
          <w:color w:val="auto"/>
          <w:sz w:val="24"/>
        </w:rPr>
      </w:pPr>
      <w:r>
        <w:rPr>
          <w:rFonts w:ascii="宋体" w:hAnsi="宋体" w:hint="eastAsia"/>
          <w:color w:val="auto"/>
          <w:sz w:val="24"/>
        </w:rPr>
        <w:t>投标人名称：                    项目编号：</w:t>
      </w:r>
      <w:r>
        <w:rPr>
          <w:rFonts w:ascii="宋体" w:hAnsi="宋体" w:hint="eastAsia"/>
          <w:color w:val="auto"/>
          <w:sz w:val="24"/>
          <w:lang w:eastAsia="zh-CN"/>
        </w:rPr>
        <w:t>SZDL2022002374（CLF0122SZ17ZC77）</w:t>
      </w:r>
      <w:r>
        <w:rPr>
          <w:rFonts w:ascii="ˎ̥" w:hAnsi="ˎ̥" w:cs="宋体"/>
          <w:color w:val="auto"/>
          <w:kern w:val="0"/>
          <w:sz w:val="24"/>
        </w:rPr>
        <w:t> </w:t>
      </w:r>
    </w:p>
    <w:tbl>
      <w:tblPr>
        <w:tblStyle w:val="TableNormal"/>
        <w:tblW w:w="902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0" w:type="dxa"/>
          <w:left w:w="108" w:type="dxa"/>
          <w:bottom w:w="0" w:type="dxa"/>
          <w:right w:w="108" w:type="dxa"/>
        </w:tblCellMar>
      </w:tblPr>
      <w:tblGrid>
        <w:gridCol w:w="535"/>
        <w:gridCol w:w="2685"/>
        <w:gridCol w:w="2430"/>
        <w:gridCol w:w="2032"/>
        <w:gridCol w:w="1344"/>
      </w:tblGrid>
      <w:tr>
        <w:tblPrEx>
          <w:tblW w:w="902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0" w:type="dxa"/>
            <w:left w:w="108" w:type="dxa"/>
            <w:bottom w:w="0" w:type="dxa"/>
            <w:right w:w="108" w:type="dxa"/>
          </w:tblCellMar>
        </w:tblPrEx>
        <w:trPr>
          <w:trHeight w:val="810"/>
          <w:jc w:val="center"/>
        </w:trPr>
        <w:tc>
          <w:tcPr>
            <w:tcW w:w="535" w:type="dxa"/>
            <w:tcBorders>
              <w:top w:val="single" w:sz="12" w:space="0" w:color="auto"/>
              <w:bottom w:val="double" w:sz="4" w:space="0" w:color="auto"/>
            </w:tcBorders>
            <w:shd w:val="clear" w:color="auto" w:fill="EEECE1"/>
            <w:vAlign w:val="center"/>
          </w:tcPr>
          <w:p>
            <w:pPr>
              <w:adjustRightInd w:val="0"/>
              <w:snapToGrid w:val="0"/>
              <w:ind w:left="-71" w:right="-74" w:leftChars="-34" w:rightChars="-35"/>
              <w:jc w:val="center"/>
              <w:rPr>
                <w:rFonts w:ascii="宋体" w:hAnsi="宋体"/>
                <w:color w:val="auto"/>
                <w:sz w:val="24"/>
              </w:rPr>
            </w:pPr>
            <w:r>
              <w:rPr>
                <w:rFonts w:ascii="宋体" w:hAnsi="宋体" w:hint="eastAsia"/>
                <w:color w:val="auto"/>
                <w:sz w:val="24"/>
              </w:rPr>
              <w:t>序号</w:t>
            </w:r>
          </w:p>
        </w:tc>
        <w:tc>
          <w:tcPr>
            <w:tcW w:w="2685" w:type="dxa"/>
            <w:tcBorders>
              <w:top w:val="single" w:sz="12" w:space="0" w:color="auto"/>
              <w:bottom w:val="double" w:sz="4" w:space="0" w:color="auto"/>
            </w:tcBorders>
            <w:shd w:val="clear" w:color="auto" w:fill="EEECE1"/>
            <w:vAlign w:val="center"/>
          </w:tcPr>
          <w:p>
            <w:pPr>
              <w:adjustRightInd w:val="0"/>
              <w:snapToGrid w:val="0"/>
              <w:ind w:left="-71" w:right="-74" w:leftChars="-34" w:rightChars="-35"/>
              <w:jc w:val="center"/>
              <w:rPr>
                <w:rFonts w:ascii="宋体" w:hAnsi="宋体"/>
                <w:color w:val="auto"/>
                <w:sz w:val="24"/>
              </w:rPr>
            </w:pPr>
            <w:r>
              <w:rPr>
                <w:rFonts w:ascii="宋体" w:hAnsi="宋体" w:hint="eastAsia"/>
                <w:color w:val="auto"/>
                <w:sz w:val="24"/>
              </w:rPr>
              <w:t>招标文件条款描述</w:t>
            </w:r>
          </w:p>
        </w:tc>
        <w:tc>
          <w:tcPr>
            <w:tcW w:w="2430" w:type="dxa"/>
            <w:tcBorders>
              <w:top w:val="single" w:sz="12" w:space="0" w:color="auto"/>
              <w:bottom w:val="double" w:sz="4" w:space="0" w:color="auto"/>
            </w:tcBorders>
            <w:shd w:val="clear" w:color="auto" w:fill="EEECE1"/>
            <w:vAlign w:val="center"/>
          </w:tcPr>
          <w:p>
            <w:pPr>
              <w:adjustRightInd w:val="0"/>
              <w:snapToGrid w:val="0"/>
              <w:ind w:left="-71" w:right="-74" w:leftChars="-34" w:rightChars="-35"/>
              <w:jc w:val="center"/>
              <w:rPr>
                <w:rFonts w:ascii="宋体" w:hAnsi="宋体"/>
                <w:color w:val="auto"/>
                <w:sz w:val="24"/>
              </w:rPr>
            </w:pPr>
            <w:r>
              <w:rPr>
                <w:rFonts w:ascii="宋体" w:hAnsi="宋体" w:hint="eastAsia"/>
                <w:color w:val="auto"/>
                <w:sz w:val="24"/>
              </w:rPr>
              <w:t>投标人响应描述</w:t>
            </w:r>
          </w:p>
          <w:p>
            <w:pPr>
              <w:adjustRightInd w:val="0"/>
              <w:snapToGrid w:val="0"/>
              <w:ind w:left="-71" w:right="-74" w:leftChars="-34" w:rightChars="-35"/>
              <w:jc w:val="center"/>
              <w:rPr>
                <w:rFonts w:ascii="宋体" w:hAnsi="宋体"/>
                <w:color w:val="auto"/>
                <w:sz w:val="24"/>
              </w:rPr>
            </w:pPr>
            <w:r>
              <w:rPr>
                <w:rFonts w:ascii="宋体" w:hAnsi="宋体" w:hint="eastAsia"/>
                <w:b/>
                <w:bCs/>
                <w:color w:val="auto"/>
                <w:sz w:val="24"/>
              </w:rPr>
              <w:t>(投标人应按响应货物/服务实际数据填写)</w:t>
            </w:r>
          </w:p>
        </w:tc>
        <w:tc>
          <w:tcPr>
            <w:tcW w:w="2032" w:type="dxa"/>
            <w:tcBorders>
              <w:top w:val="single" w:sz="12" w:space="0" w:color="auto"/>
              <w:bottom w:val="double" w:sz="4" w:space="0" w:color="auto"/>
            </w:tcBorders>
            <w:shd w:val="clear" w:color="auto" w:fill="EEECE1"/>
            <w:vAlign w:val="center"/>
          </w:tcPr>
          <w:p>
            <w:pPr>
              <w:adjustRightInd w:val="0"/>
              <w:snapToGrid w:val="0"/>
              <w:ind w:left="-71" w:right="-74" w:leftChars="-34" w:rightChars="-35"/>
              <w:jc w:val="center"/>
              <w:rPr>
                <w:rFonts w:ascii="宋体" w:hAnsi="宋体"/>
                <w:color w:val="auto"/>
                <w:sz w:val="24"/>
              </w:rPr>
            </w:pPr>
            <w:r>
              <w:rPr>
                <w:rFonts w:ascii="宋体" w:hAnsi="宋体" w:hint="eastAsia"/>
                <w:color w:val="auto"/>
                <w:sz w:val="24"/>
              </w:rPr>
              <w:t>偏离情况说明</w:t>
            </w:r>
          </w:p>
          <w:p>
            <w:pPr>
              <w:adjustRightInd w:val="0"/>
              <w:snapToGrid w:val="0"/>
              <w:jc w:val="center"/>
              <w:rPr>
                <w:rFonts w:ascii="宋体" w:hAnsi="宋体"/>
                <w:b/>
                <w:color w:val="auto"/>
                <w:sz w:val="24"/>
              </w:rPr>
            </w:pPr>
            <w:r>
              <w:rPr>
                <w:rFonts w:ascii="宋体" w:hAnsi="宋体" w:hint="eastAsia"/>
                <w:b/>
                <w:color w:val="auto"/>
                <w:sz w:val="24"/>
              </w:rPr>
              <w:t>（</w:t>
            </w:r>
            <w:r>
              <w:rPr>
                <w:rFonts w:hint="eastAsia"/>
                <w:b/>
                <w:color w:val="auto"/>
                <w:sz w:val="24"/>
              </w:rPr>
              <w:t>正偏离/完全响应/负偏离</w:t>
            </w:r>
            <w:r>
              <w:rPr>
                <w:rFonts w:ascii="宋体" w:hAnsi="宋体" w:hint="eastAsia"/>
                <w:b/>
                <w:color w:val="auto"/>
                <w:sz w:val="24"/>
              </w:rPr>
              <w:t>）</w:t>
            </w:r>
          </w:p>
        </w:tc>
        <w:tc>
          <w:tcPr>
            <w:tcW w:w="1344" w:type="dxa"/>
            <w:tcBorders>
              <w:top w:val="single" w:sz="12" w:space="0" w:color="auto"/>
              <w:bottom w:val="double" w:sz="4" w:space="0" w:color="auto"/>
            </w:tcBorders>
            <w:shd w:val="clear" w:color="auto" w:fill="EEECE1"/>
            <w:vAlign w:val="center"/>
          </w:tcPr>
          <w:p>
            <w:pPr>
              <w:adjustRightInd w:val="0"/>
              <w:snapToGrid w:val="0"/>
              <w:ind w:left="-71" w:right="-74" w:leftChars="-34" w:rightChars="-35"/>
              <w:jc w:val="center"/>
              <w:rPr>
                <w:rFonts w:ascii="宋体" w:hAnsi="宋体"/>
                <w:color w:val="auto"/>
                <w:sz w:val="24"/>
              </w:rPr>
            </w:pPr>
            <w:r>
              <w:rPr>
                <w:rFonts w:hint="eastAsia"/>
                <w:color w:val="auto"/>
                <w:sz w:val="24"/>
              </w:rPr>
              <w:t>说明</w:t>
            </w:r>
          </w:p>
        </w:tc>
      </w:tr>
      <w:tr>
        <w:tblPrEx>
          <w:tblW w:w="9026" w:type="dxa"/>
          <w:jc w:val="center"/>
          <w:tblLayout w:type="fixed"/>
          <w:tblCellMar>
            <w:top w:w="0" w:type="dxa"/>
            <w:left w:w="108" w:type="dxa"/>
            <w:bottom w:w="0" w:type="dxa"/>
            <w:right w:w="108" w:type="dxa"/>
          </w:tblCellMar>
        </w:tblPrEx>
        <w:trPr>
          <w:cantSplit/>
          <w:trHeight w:val="527"/>
          <w:jc w:val="center"/>
        </w:trPr>
        <w:tc>
          <w:tcPr>
            <w:tcW w:w="535" w:type="dxa"/>
            <w:vAlign w:val="center"/>
          </w:tcPr>
          <w:p>
            <w:pPr>
              <w:numPr>
                <w:ilvl w:val="0"/>
                <w:numId w:val="80"/>
              </w:numPr>
              <w:jc w:val="center"/>
              <w:rPr>
                <w:rFonts w:ascii="宋体" w:hAnsi="宋体"/>
                <w:color w:val="auto"/>
                <w:sz w:val="24"/>
              </w:rPr>
            </w:pPr>
          </w:p>
        </w:tc>
        <w:tc>
          <w:tcPr>
            <w:tcW w:w="2685" w:type="dxa"/>
            <w:vAlign w:val="center"/>
          </w:tcPr>
          <w:p>
            <w:pPr>
              <w:spacing w:line="400" w:lineRule="exact"/>
              <w:jc w:val="center"/>
              <w:rPr>
                <w:rFonts w:ascii="宋体" w:hAnsi="宋体"/>
                <w:color w:val="auto"/>
                <w:sz w:val="24"/>
              </w:rPr>
            </w:pPr>
          </w:p>
        </w:tc>
        <w:tc>
          <w:tcPr>
            <w:tcW w:w="2430" w:type="dxa"/>
            <w:vAlign w:val="center"/>
          </w:tcPr>
          <w:p>
            <w:pPr>
              <w:spacing w:line="400" w:lineRule="exact"/>
              <w:jc w:val="center"/>
              <w:rPr>
                <w:rFonts w:ascii="宋体" w:hAnsi="宋体"/>
                <w:color w:val="auto"/>
                <w:sz w:val="24"/>
              </w:rPr>
            </w:pPr>
          </w:p>
        </w:tc>
        <w:tc>
          <w:tcPr>
            <w:tcW w:w="2032" w:type="dxa"/>
            <w:vAlign w:val="center"/>
          </w:tcPr>
          <w:p>
            <w:pPr>
              <w:spacing w:line="400" w:lineRule="exact"/>
              <w:jc w:val="center"/>
              <w:rPr>
                <w:rFonts w:ascii="宋体" w:hAnsi="宋体"/>
                <w:color w:val="auto"/>
                <w:sz w:val="24"/>
              </w:rPr>
            </w:pPr>
          </w:p>
        </w:tc>
        <w:tc>
          <w:tcPr>
            <w:tcW w:w="1344" w:type="dxa"/>
            <w:vAlign w:val="center"/>
          </w:tcPr>
          <w:p>
            <w:pPr>
              <w:spacing w:line="400" w:lineRule="exact"/>
              <w:jc w:val="center"/>
              <w:rPr>
                <w:rFonts w:ascii="宋体" w:hAnsi="宋体"/>
                <w:color w:val="auto"/>
                <w:sz w:val="24"/>
              </w:rPr>
            </w:pPr>
          </w:p>
        </w:tc>
      </w:tr>
      <w:tr>
        <w:tblPrEx>
          <w:tblW w:w="9026" w:type="dxa"/>
          <w:jc w:val="center"/>
          <w:tblLayout w:type="fixed"/>
          <w:tblCellMar>
            <w:top w:w="0" w:type="dxa"/>
            <w:left w:w="108" w:type="dxa"/>
            <w:bottom w:w="0" w:type="dxa"/>
            <w:right w:w="108" w:type="dxa"/>
          </w:tblCellMar>
        </w:tblPrEx>
        <w:trPr>
          <w:cantSplit/>
          <w:trHeight w:val="527"/>
          <w:jc w:val="center"/>
        </w:trPr>
        <w:tc>
          <w:tcPr>
            <w:tcW w:w="535" w:type="dxa"/>
            <w:vAlign w:val="center"/>
          </w:tcPr>
          <w:p>
            <w:pPr>
              <w:numPr>
                <w:ilvl w:val="0"/>
                <w:numId w:val="80"/>
              </w:numPr>
              <w:jc w:val="center"/>
              <w:rPr>
                <w:rFonts w:ascii="宋体" w:hAnsi="宋体"/>
                <w:color w:val="auto"/>
                <w:sz w:val="24"/>
              </w:rPr>
            </w:pPr>
          </w:p>
        </w:tc>
        <w:tc>
          <w:tcPr>
            <w:tcW w:w="2685" w:type="dxa"/>
            <w:vAlign w:val="center"/>
          </w:tcPr>
          <w:p>
            <w:pPr>
              <w:spacing w:line="400" w:lineRule="exact"/>
              <w:jc w:val="center"/>
              <w:rPr>
                <w:rFonts w:ascii="宋体" w:hAnsi="宋体"/>
                <w:color w:val="auto"/>
                <w:sz w:val="24"/>
              </w:rPr>
            </w:pPr>
          </w:p>
        </w:tc>
        <w:tc>
          <w:tcPr>
            <w:tcW w:w="2430" w:type="dxa"/>
            <w:vAlign w:val="center"/>
          </w:tcPr>
          <w:p>
            <w:pPr>
              <w:spacing w:line="400" w:lineRule="exact"/>
              <w:jc w:val="center"/>
              <w:rPr>
                <w:rFonts w:ascii="宋体" w:hAnsi="宋体"/>
                <w:color w:val="auto"/>
                <w:sz w:val="24"/>
              </w:rPr>
            </w:pPr>
          </w:p>
        </w:tc>
        <w:tc>
          <w:tcPr>
            <w:tcW w:w="2032" w:type="dxa"/>
            <w:vAlign w:val="center"/>
          </w:tcPr>
          <w:p>
            <w:pPr>
              <w:spacing w:line="400" w:lineRule="exact"/>
              <w:jc w:val="center"/>
              <w:rPr>
                <w:rFonts w:ascii="宋体" w:hAnsi="宋体"/>
                <w:color w:val="auto"/>
                <w:sz w:val="24"/>
              </w:rPr>
            </w:pPr>
          </w:p>
        </w:tc>
        <w:tc>
          <w:tcPr>
            <w:tcW w:w="1344" w:type="dxa"/>
            <w:vAlign w:val="center"/>
          </w:tcPr>
          <w:p>
            <w:pPr>
              <w:spacing w:line="400" w:lineRule="exact"/>
              <w:jc w:val="center"/>
              <w:rPr>
                <w:rFonts w:ascii="宋体" w:hAnsi="宋体"/>
                <w:color w:val="auto"/>
                <w:sz w:val="24"/>
              </w:rPr>
            </w:pPr>
          </w:p>
        </w:tc>
      </w:tr>
      <w:tr>
        <w:tblPrEx>
          <w:tblW w:w="9026" w:type="dxa"/>
          <w:jc w:val="center"/>
          <w:tblLayout w:type="fixed"/>
          <w:tblCellMar>
            <w:top w:w="0" w:type="dxa"/>
            <w:left w:w="108" w:type="dxa"/>
            <w:bottom w:w="0" w:type="dxa"/>
            <w:right w:w="108" w:type="dxa"/>
          </w:tblCellMar>
        </w:tblPrEx>
        <w:trPr>
          <w:cantSplit/>
          <w:trHeight w:val="527"/>
          <w:jc w:val="center"/>
        </w:trPr>
        <w:tc>
          <w:tcPr>
            <w:tcW w:w="535" w:type="dxa"/>
            <w:vAlign w:val="center"/>
          </w:tcPr>
          <w:p>
            <w:pPr>
              <w:numPr>
                <w:ilvl w:val="0"/>
                <w:numId w:val="80"/>
              </w:numPr>
              <w:jc w:val="center"/>
              <w:rPr>
                <w:rFonts w:ascii="宋体" w:hAnsi="宋体"/>
                <w:color w:val="auto"/>
                <w:sz w:val="24"/>
              </w:rPr>
            </w:pPr>
          </w:p>
        </w:tc>
        <w:tc>
          <w:tcPr>
            <w:tcW w:w="2685" w:type="dxa"/>
            <w:vAlign w:val="center"/>
          </w:tcPr>
          <w:p>
            <w:pPr>
              <w:spacing w:line="400" w:lineRule="exact"/>
              <w:jc w:val="center"/>
              <w:rPr>
                <w:rFonts w:ascii="宋体" w:hAnsi="宋体"/>
                <w:color w:val="auto"/>
                <w:sz w:val="24"/>
              </w:rPr>
            </w:pPr>
          </w:p>
        </w:tc>
        <w:tc>
          <w:tcPr>
            <w:tcW w:w="2430" w:type="dxa"/>
            <w:vAlign w:val="center"/>
          </w:tcPr>
          <w:p>
            <w:pPr>
              <w:spacing w:line="400" w:lineRule="exact"/>
              <w:jc w:val="center"/>
              <w:rPr>
                <w:rFonts w:ascii="宋体" w:hAnsi="宋体"/>
                <w:color w:val="auto"/>
                <w:sz w:val="24"/>
              </w:rPr>
            </w:pPr>
          </w:p>
        </w:tc>
        <w:tc>
          <w:tcPr>
            <w:tcW w:w="2032" w:type="dxa"/>
            <w:vAlign w:val="center"/>
          </w:tcPr>
          <w:p>
            <w:pPr>
              <w:spacing w:line="400" w:lineRule="exact"/>
              <w:jc w:val="center"/>
              <w:rPr>
                <w:rFonts w:ascii="宋体" w:hAnsi="宋体"/>
                <w:color w:val="auto"/>
                <w:sz w:val="24"/>
              </w:rPr>
            </w:pPr>
          </w:p>
        </w:tc>
        <w:tc>
          <w:tcPr>
            <w:tcW w:w="1344" w:type="dxa"/>
            <w:vAlign w:val="center"/>
          </w:tcPr>
          <w:p>
            <w:pPr>
              <w:spacing w:line="400" w:lineRule="exact"/>
              <w:jc w:val="center"/>
              <w:rPr>
                <w:rFonts w:ascii="宋体" w:hAnsi="宋体"/>
                <w:color w:val="auto"/>
                <w:sz w:val="24"/>
              </w:rPr>
            </w:pPr>
          </w:p>
        </w:tc>
      </w:tr>
    </w:tbl>
    <w:p>
      <w:pPr>
        <w:spacing w:line="360" w:lineRule="auto"/>
        <w:ind w:right="84" w:rightChars="40"/>
        <w:rPr>
          <w:rFonts w:ascii="宋体" w:hAnsi="宋体"/>
          <w:sz w:val="24"/>
        </w:rPr>
      </w:pPr>
      <w:r>
        <w:rPr>
          <w:rFonts w:ascii="宋体" w:hAnsi="宋体" w:hint="eastAsia"/>
          <w:sz w:val="24"/>
        </w:rPr>
        <w:t>备注：</w:t>
      </w:r>
    </w:p>
    <w:p>
      <w:pPr>
        <w:numPr>
          <w:ilvl w:val="0"/>
          <w:numId w:val="81"/>
        </w:numPr>
        <w:spacing w:line="360" w:lineRule="auto"/>
        <w:ind w:left="425" w:right="84" w:hanging="425" w:rightChars="40"/>
        <w:rPr>
          <w:rFonts w:ascii="宋体" w:hAnsi="宋体"/>
          <w:sz w:val="24"/>
        </w:rPr>
      </w:pPr>
      <w:r>
        <w:rPr>
          <w:rFonts w:ascii="宋体" w:hAnsi="宋体" w:hint="eastAsia"/>
          <w:sz w:val="24"/>
        </w:rPr>
        <w:t>本表的货物名称及规格型号须与《投标分项报价表》一致，投标人必须按招标文件要求附相关证明文件，如有任何一项不响应或不满足的视为负偏离。</w:t>
      </w:r>
    </w:p>
    <w:p>
      <w:pPr>
        <w:numPr>
          <w:ilvl w:val="0"/>
          <w:numId w:val="81"/>
        </w:numPr>
        <w:spacing w:line="360" w:lineRule="auto"/>
        <w:ind w:left="425" w:right="84" w:hanging="425" w:rightChars="40"/>
        <w:rPr>
          <w:sz w:val="24"/>
        </w:rPr>
      </w:pPr>
      <w:r>
        <w:rPr>
          <w:rFonts w:ascii="宋体" w:hAnsi="宋体" w:hint="eastAsia"/>
          <w:sz w:val="24"/>
        </w:rPr>
        <w:t>投标人应在“说明”一栏中列出技术参数的证明资料（如有）名称，并指明该证明资料在投标文件中的具体位置。</w:t>
      </w:r>
    </w:p>
    <w:p>
      <w:r>
        <w:rPr>
          <w:rFonts w:hint="eastAsia"/>
          <w:color w:val="FF0000"/>
        </w:rPr>
        <w:br w:type="page"/>
      </w:r>
    </w:p>
    <w:p>
      <w:pPr>
        <w:pStyle w:val="Heading2"/>
        <w:numPr>
          <w:ilvl w:val="0"/>
          <w:numId w:val="72"/>
        </w:numPr>
        <w:spacing w:line="240" w:lineRule="auto"/>
        <w:jc w:val="center"/>
        <w:rPr>
          <w:b w:val="0"/>
        </w:rPr>
      </w:pPr>
      <w:bookmarkStart w:id="280" w:name="_Toc27363"/>
      <w:bookmarkStart w:id="281" w:name="_Toc256000049"/>
      <w:r>
        <w:rPr>
          <w:rFonts w:hint="eastAsia"/>
          <w:b w:val="0"/>
        </w:rPr>
        <w:t>用户需求书商务条款响应一览表</w:t>
      </w:r>
      <w:bookmarkEnd w:id="281"/>
      <w:bookmarkEnd w:id="280"/>
    </w:p>
    <w:p>
      <w:pPr>
        <w:pStyle w:val="ListParagraph"/>
        <w:ind w:left="420" w:firstLine="1564" w:leftChars="200" w:firstLineChars="745"/>
        <w:rPr>
          <w:color w:val="auto"/>
          <w:sz w:val="36"/>
          <w:szCs w:val="36"/>
          <w:highlight w:val="none"/>
        </w:rPr>
      </w:pPr>
      <w:r>
        <w:rPr>
          <w:rFonts w:ascii="宋体" w:hAnsi="宋体" w:hint="eastAsia"/>
          <w:b/>
          <w:color w:val="auto"/>
          <w:sz w:val="36"/>
          <w:szCs w:val="36"/>
          <w:highlight w:val="none"/>
        </w:rPr>
        <w:t>（非信息公开部分）</w:t>
      </w:r>
    </w:p>
    <w:p>
      <w:pPr>
        <w:spacing w:line="400" w:lineRule="exact"/>
        <w:rPr>
          <w:rFonts w:ascii="宋体" w:hAnsi="宋体"/>
          <w:color w:val="auto"/>
          <w:sz w:val="24"/>
          <w:highlight w:val="none"/>
        </w:rPr>
      </w:pPr>
      <w:r>
        <w:rPr>
          <w:rFonts w:ascii="宋体" w:hAnsi="宋体" w:hint="eastAsia"/>
          <w:color w:val="auto"/>
          <w:sz w:val="24"/>
          <w:highlight w:val="none"/>
        </w:rPr>
        <w:t>说明：投标人必须对应招标文件</w:t>
      </w:r>
      <w:r>
        <w:rPr>
          <w:rFonts w:ascii="宋体" w:hAnsi="宋体" w:hint="eastAsia"/>
          <w:b/>
          <w:bCs/>
          <w:color w:val="auto"/>
          <w:sz w:val="24"/>
          <w:highlight w:val="none"/>
        </w:rPr>
        <w:t>第二章用户需求书</w:t>
      </w:r>
      <w:r>
        <w:rPr>
          <w:rFonts w:ascii="宋体" w:hAnsi="宋体" w:hint="eastAsia"/>
          <w:color w:val="auto"/>
          <w:sz w:val="24"/>
          <w:highlight w:val="none"/>
        </w:rPr>
        <w:t>条款逐条应答并按要求填写下表。</w:t>
      </w:r>
    </w:p>
    <w:p>
      <w:pPr>
        <w:widowControl/>
        <w:wordWrap w:val="0"/>
        <w:spacing w:line="360" w:lineRule="auto"/>
        <w:jc w:val="left"/>
        <w:rPr>
          <w:rFonts w:ascii="宋体" w:hAnsi="宋体"/>
          <w:color w:val="auto"/>
          <w:sz w:val="24"/>
          <w:highlight w:val="none"/>
        </w:rPr>
      </w:pPr>
      <w:r>
        <w:rPr>
          <w:rFonts w:ascii="宋体" w:hAnsi="宋体" w:hint="eastAsia"/>
          <w:color w:val="auto"/>
          <w:sz w:val="24"/>
          <w:highlight w:val="none"/>
        </w:rPr>
        <w:t>投标人名称：                   项目编号：</w:t>
      </w:r>
      <w:r>
        <w:rPr>
          <w:rFonts w:ascii="宋体" w:hAnsi="宋体" w:hint="eastAsia"/>
          <w:color w:val="auto"/>
          <w:sz w:val="24"/>
          <w:highlight w:val="none"/>
          <w:lang w:eastAsia="zh-CN"/>
        </w:rPr>
        <w:t>SZDL2022002374（CLF0122SZ17ZC77）</w:t>
      </w:r>
      <w:r>
        <w:rPr>
          <w:rFonts w:ascii="ˎ̥" w:hAnsi="ˎ̥" w:cs="宋体"/>
          <w:color w:val="auto"/>
          <w:kern w:val="0"/>
          <w:sz w:val="24"/>
          <w:highlight w:val="none"/>
        </w:rPr>
        <w:t> </w:t>
      </w:r>
    </w:p>
    <w:tbl>
      <w:tblPr>
        <w:tblStyle w:val="TableNormal"/>
        <w:tblpPr w:leftFromText="180" w:rightFromText="180" w:vertAnchor="text" w:tblpY="1"/>
        <w:tblOverlap w:val="never"/>
        <w:tblW w:w="8944" w:type="dxa"/>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0" w:type="dxa"/>
          <w:left w:w="108" w:type="dxa"/>
          <w:bottom w:w="0" w:type="dxa"/>
          <w:right w:w="108" w:type="dxa"/>
        </w:tblCellMar>
      </w:tblPr>
      <w:tblGrid>
        <w:gridCol w:w="830"/>
        <w:gridCol w:w="1082"/>
        <w:gridCol w:w="1740"/>
        <w:gridCol w:w="2226"/>
        <w:gridCol w:w="1601"/>
        <w:gridCol w:w="1465"/>
      </w:tblGrid>
      <w:tr>
        <w:tblPrEx>
          <w:tblW w:w="8944" w:type="dxa"/>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0" w:type="dxa"/>
            <w:left w:w="108" w:type="dxa"/>
            <w:bottom w:w="0" w:type="dxa"/>
            <w:right w:w="108" w:type="dxa"/>
          </w:tblCellMar>
        </w:tblPrEx>
        <w:trPr>
          <w:trHeight w:val="677"/>
        </w:trPr>
        <w:tc>
          <w:tcPr>
            <w:tcW w:w="830" w:type="dxa"/>
            <w:shd w:val="clear" w:color="auto" w:fill="ECECEC" w:themeFill="accent3" w:themeFillTint="33"/>
            <w:vAlign w:val="center"/>
          </w:tcPr>
          <w:p>
            <w:pPr>
              <w:jc w:val="center"/>
              <w:rPr>
                <w:rFonts w:asciiTheme="minorEastAsia" w:eastAsiaTheme="minorEastAsia" w:hAnsiTheme="minorEastAsia"/>
                <w:color w:val="auto"/>
                <w:sz w:val="24"/>
                <w:highlight w:val="none"/>
              </w:rPr>
            </w:pPr>
            <w:r>
              <w:rPr>
                <w:rFonts w:asciiTheme="minorEastAsia" w:eastAsiaTheme="minorEastAsia" w:hAnsiTheme="minorEastAsia" w:hint="eastAsia"/>
                <w:color w:val="auto"/>
                <w:sz w:val="24"/>
                <w:highlight w:val="none"/>
              </w:rPr>
              <w:t>序号</w:t>
            </w:r>
          </w:p>
        </w:tc>
        <w:tc>
          <w:tcPr>
            <w:tcW w:w="1082" w:type="dxa"/>
            <w:shd w:val="clear" w:color="auto" w:fill="ECECEC" w:themeFill="accent3" w:themeFillTint="33"/>
            <w:vAlign w:val="center"/>
          </w:tcPr>
          <w:p>
            <w:pPr>
              <w:jc w:val="center"/>
              <w:rPr>
                <w:rFonts w:asciiTheme="minorEastAsia" w:eastAsiaTheme="minorEastAsia" w:hAnsiTheme="minorEastAsia"/>
                <w:color w:val="auto"/>
                <w:sz w:val="24"/>
                <w:highlight w:val="none"/>
              </w:rPr>
            </w:pPr>
            <w:r>
              <w:rPr>
                <w:rFonts w:asciiTheme="minorEastAsia" w:eastAsiaTheme="minorEastAsia" w:hAnsiTheme="minorEastAsia" w:hint="eastAsia"/>
                <w:color w:val="auto"/>
                <w:sz w:val="24"/>
                <w:highlight w:val="none"/>
              </w:rPr>
              <w:t>目录</w:t>
            </w:r>
          </w:p>
        </w:tc>
        <w:tc>
          <w:tcPr>
            <w:tcW w:w="1740" w:type="dxa"/>
            <w:shd w:val="clear" w:color="auto" w:fill="ECECEC" w:themeFill="accent3" w:themeFillTint="33"/>
            <w:vAlign w:val="center"/>
          </w:tcPr>
          <w:p>
            <w:pPr>
              <w:jc w:val="center"/>
              <w:rPr>
                <w:rFonts w:asciiTheme="minorEastAsia" w:eastAsiaTheme="minorEastAsia" w:hAnsiTheme="minorEastAsia"/>
                <w:color w:val="auto"/>
                <w:sz w:val="24"/>
                <w:highlight w:val="none"/>
              </w:rPr>
            </w:pPr>
            <w:r>
              <w:rPr>
                <w:rFonts w:ascii="宋体" w:hAnsi="宋体" w:hint="eastAsia"/>
                <w:color w:val="auto"/>
                <w:sz w:val="24"/>
                <w:highlight w:val="none"/>
              </w:rPr>
              <w:t>招标文件条款描述</w:t>
            </w:r>
          </w:p>
        </w:tc>
        <w:tc>
          <w:tcPr>
            <w:tcW w:w="2226" w:type="dxa"/>
            <w:shd w:val="clear" w:color="auto" w:fill="ECECEC" w:themeFill="accent3" w:themeFillTint="33"/>
            <w:vAlign w:val="center"/>
          </w:tcPr>
          <w:p>
            <w:pPr>
              <w:adjustRightInd w:val="0"/>
              <w:snapToGrid w:val="0"/>
              <w:ind w:left="-71" w:right="-74" w:leftChars="-34" w:rightChars="-35"/>
              <w:jc w:val="center"/>
              <w:rPr>
                <w:rFonts w:ascii="宋体" w:hAnsi="宋体"/>
                <w:color w:val="auto"/>
                <w:sz w:val="24"/>
                <w:highlight w:val="none"/>
              </w:rPr>
            </w:pPr>
            <w:r>
              <w:rPr>
                <w:rFonts w:ascii="宋体" w:hAnsi="宋体" w:hint="eastAsia"/>
                <w:color w:val="auto"/>
                <w:sz w:val="24"/>
                <w:highlight w:val="none"/>
              </w:rPr>
              <w:t>投标人响应描述</w:t>
            </w:r>
          </w:p>
          <w:p>
            <w:pPr>
              <w:jc w:val="center"/>
              <w:rPr>
                <w:rFonts w:asciiTheme="minorEastAsia" w:eastAsiaTheme="minorEastAsia" w:hAnsiTheme="minorEastAsia"/>
                <w:color w:val="auto"/>
                <w:sz w:val="24"/>
                <w:highlight w:val="none"/>
              </w:rPr>
            </w:pPr>
            <w:r>
              <w:rPr>
                <w:rFonts w:ascii="宋体" w:hAnsi="宋体" w:hint="eastAsia"/>
                <w:b/>
                <w:bCs/>
                <w:color w:val="auto"/>
                <w:sz w:val="24"/>
                <w:highlight w:val="none"/>
              </w:rPr>
              <w:t>(投标人应按响应货物/服务实际数据填写)</w:t>
            </w:r>
          </w:p>
        </w:tc>
        <w:tc>
          <w:tcPr>
            <w:tcW w:w="1601" w:type="dxa"/>
            <w:shd w:val="clear" w:color="auto" w:fill="ECECEC" w:themeFill="accent3" w:themeFillTint="33"/>
            <w:vAlign w:val="center"/>
          </w:tcPr>
          <w:p>
            <w:pPr>
              <w:adjustRightInd w:val="0"/>
              <w:snapToGrid w:val="0"/>
              <w:ind w:left="-71" w:right="-74" w:leftChars="-34" w:rightChars="-35"/>
              <w:jc w:val="center"/>
              <w:rPr>
                <w:rFonts w:ascii="宋体" w:hAnsi="宋体"/>
                <w:color w:val="auto"/>
                <w:sz w:val="24"/>
                <w:highlight w:val="none"/>
              </w:rPr>
            </w:pPr>
            <w:r>
              <w:rPr>
                <w:rFonts w:ascii="宋体" w:hAnsi="宋体" w:hint="eastAsia"/>
                <w:color w:val="auto"/>
                <w:sz w:val="24"/>
                <w:highlight w:val="none"/>
              </w:rPr>
              <w:t>偏离情况说明</w:t>
            </w:r>
          </w:p>
          <w:p>
            <w:pPr>
              <w:jc w:val="center"/>
              <w:rPr>
                <w:rFonts w:asciiTheme="minorEastAsia" w:eastAsiaTheme="minorEastAsia" w:hAnsiTheme="minorEastAsia"/>
                <w:color w:val="auto"/>
                <w:sz w:val="24"/>
                <w:highlight w:val="none"/>
              </w:rPr>
            </w:pPr>
            <w:r>
              <w:rPr>
                <w:rFonts w:ascii="宋体" w:hAnsi="宋体" w:hint="eastAsia"/>
                <w:b/>
                <w:color w:val="auto"/>
                <w:sz w:val="24"/>
                <w:highlight w:val="none"/>
              </w:rPr>
              <w:t>（</w:t>
            </w:r>
            <w:r>
              <w:rPr>
                <w:rFonts w:hint="eastAsia"/>
                <w:b/>
                <w:color w:val="auto"/>
                <w:sz w:val="24"/>
                <w:highlight w:val="none"/>
              </w:rPr>
              <w:t>正偏离/完全响应/负偏离</w:t>
            </w:r>
            <w:r>
              <w:rPr>
                <w:rFonts w:ascii="宋体" w:hAnsi="宋体" w:hint="eastAsia"/>
                <w:b/>
                <w:color w:val="auto"/>
                <w:sz w:val="24"/>
                <w:highlight w:val="none"/>
              </w:rPr>
              <w:t>）</w:t>
            </w:r>
          </w:p>
        </w:tc>
        <w:tc>
          <w:tcPr>
            <w:tcW w:w="1465" w:type="dxa"/>
            <w:shd w:val="clear" w:color="auto" w:fill="ECECEC" w:themeFill="accent3" w:themeFillTint="33"/>
            <w:vAlign w:val="center"/>
          </w:tcPr>
          <w:p>
            <w:pPr>
              <w:jc w:val="center"/>
              <w:rPr>
                <w:rFonts w:asciiTheme="minorEastAsia" w:eastAsiaTheme="minorEastAsia" w:hAnsiTheme="minorEastAsia"/>
                <w:color w:val="auto"/>
                <w:sz w:val="24"/>
                <w:highlight w:val="none"/>
              </w:rPr>
            </w:pPr>
            <w:r>
              <w:rPr>
                <w:rFonts w:asciiTheme="minorEastAsia" w:eastAsiaTheme="minorEastAsia" w:hAnsiTheme="minorEastAsia" w:hint="eastAsia"/>
                <w:color w:val="auto"/>
                <w:sz w:val="24"/>
                <w:highlight w:val="none"/>
              </w:rPr>
              <w:t>备注</w:t>
            </w:r>
          </w:p>
        </w:tc>
      </w:tr>
      <w:tr>
        <w:tblPrEx>
          <w:tblW w:w="8944" w:type="dxa"/>
          <w:tblInd w:w="0" w:type="dxa"/>
          <w:tblLayout w:type="fixed"/>
          <w:tblCellMar>
            <w:top w:w="0" w:type="dxa"/>
            <w:left w:w="108" w:type="dxa"/>
            <w:bottom w:w="0" w:type="dxa"/>
            <w:right w:w="108" w:type="dxa"/>
          </w:tblCellMar>
        </w:tblPrEx>
        <w:trPr>
          <w:trHeight w:val="495"/>
        </w:trPr>
        <w:tc>
          <w:tcPr>
            <w:tcW w:w="830" w:type="dxa"/>
            <w:vAlign w:val="center"/>
          </w:tcPr>
          <w:p>
            <w:pPr>
              <w:rPr>
                <w:rFonts w:asciiTheme="minorEastAsia" w:eastAsiaTheme="minorEastAsia" w:hAnsiTheme="minorEastAsia"/>
                <w:color w:val="auto"/>
                <w:sz w:val="24"/>
                <w:highlight w:val="none"/>
              </w:rPr>
            </w:pPr>
            <w:r>
              <w:rPr>
                <w:rFonts w:asciiTheme="minorEastAsia" w:eastAsiaTheme="minorEastAsia" w:hAnsiTheme="minorEastAsia" w:hint="eastAsia"/>
                <w:color w:val="auto"/>
                <w:sz w:val="24"/>
                <w:highlight w:val="none"/>
              </w:rPr>
              <w:t>1</w:t>
            </w:r>
          </w:p>
        </w:tc>
        <w:tc>
          <w:tcPr>
            <w:tcW w:w="1082" w:type="dxa"/>
            <w:vAlign w:val="center"/>
          </w:tcPr>
          <w:p>
            <w:pPr>
              <w:rPr>
                <w:rFonts w:asciiTheme="minorEastAsia" w:eastAsiaTheme="minorEastAsia" w:hAnsiTheme="minorEastAsia"/>
                <w:color w:val="auto"/>
                <w:sz w:val="24"/>
                <w:highlight w:val="none"/>
              </w:rPr>
            </w:pPr>
          </w:p>
        </w:tc>
        <w:tc>
          <w:tcPr>
            <w:tcW w:w="1740" w:type="dxa"/>
            <w:vAlign w:val="center"/>
          </w:tcPr>
          <w:p>
            <w:pPr>
              <w:rPr>
                <w:rFonts w:asciiTheme="minorEastAsia" w:eastAsiaTheme="minorEastAsia" w:hAnsiTheme="minorEastAsia"/>
                <w:color w:val="auto"/>
                <w:sz w:val="24"/>
                <w:highlight w:val="none"/>
              </w:rPr>
            </w:pPr>
          </w:p>
        </w:tc>
        <w:tc>
          <w:tcPr>
            <w:tcW w:w="2226" w:type="dxa"/>
            <w:vAlign w:val="center"/>
          </w:tcPr>
          <w:p>
            <w:pPr>
              <w:rPr>
                <w:rFonts w:asciiTheme="minorEastAsia" w:eastAsiaTheme="minorEastAsia" w:hAnsiTheme="minorEastAsia"/>
                <w:color w:val="auto"/>
                <w:sz w:val="24"/>
                <w:highlight w:val="none"/>
              </w:rPr>
            </w:pPr>
          </w:p>
        </w:tc>
        <w:tc>
          <w:tcPr>
            <w:tcW w:w="1601" w:type="dxa"/>
            <w:vAlign w:val="center"/>
          </w:tcPr>
          <w:p>
            <w:pPr>
              <w:rPr>
                <w:rFonts w:asciiTheme="minorEastAsia" w:eastAsiaTheme="minorEastAsia" w:hAnsiTheme="minorEastAsia"/>
                <w:color w:val="auto"/>
                <w:sz w:val="24"/>
                <w:highlight w:val="none"/>
              </w:rPr>
            </w:pPr>
          </w:p>
        </w:tc>
        <w:tc>
          <w:tcPr>
            <w:tcW w:w="1465" w:type="dxa"/>
            <w:vAlign w:val="center"/>
          </w:tcPr>
          <w:p>
            <w:pPr>
              <w:rPr>
                <w:rFonts w:asciiTheme="minorEastAsia" w:eastAsiaTheme="minorEastAsia" w:hAnsiTheme="minorEastAsia"/>
                <w:color w:val="auto"/>
                <w:sz w:val="24"/>
                <w:highlight w:val="none"/>
              </w:rPr>
            </w:pPr>
          </w:p>
        </w:tc>
      </w:tr>
      <w:tr>
        <w:tblPrEx>
          <w:tblW w:w="8944" w:type="dxa"/>
          <w:tblInd w:w="0" w:type="dxa"/>
          <w:tblLayout w:type="fixed"/>
          <w:tblCellMar>
            <w:top w:w="0" w:type="dxa"/>
            <w:left w:w="108" w:type="dxa"/>
            <w:bottom w:w="0" w:type="dxa"/>
            <w:right w:w="108" w:type="dxa"/>
          </w:tblCellMar>
        </w:tblPrEx>
        <w:trPr>
          <w:trHeight w:val="518"/>
        </w:trPr>
        <w:tc>
          <w:tcPr>
            <w:tcW w:w="830" w:type="dxa"/>
            <w:vAlign w:val="center"/>
          </w:tcPr>
          <w:p>
            <w:pPr>
              <w:rPr>
                <w:rFonts w:asciiTheme="minorEastAsia" w:eastAsiaTheme="minorEastAsia" w:hAnsiTheme="minorEastAsia"/>
                <w:color w:val="auto"/>
                <w:sz w:val="24"/>
                <w:highlight w:val="none"/>
              </w:rPr>
            </w:pPr>
            <w:r>
              <w:rPr>
                <w:rFonts w:asciiTheme="minorEastAsia" w:eastAsiaTheme="minorEastAsia" w:hAnsiTheme="minorEastAsia" w:hint="eastAsia"/>
                <w:color w:val="auto"/>
                <w:sz w:val="24"/>
                <w:highlight w:val="none"/>
              </w:rPr>
              <w:t>2</w:t>
            </w:r>
          </w:p>
        </w:tc>
        <w:tc>
          <w:tcPr>
            <w:tcW w:w="1082" w:type="dxa"/>
            <w:vAlign w:val="center"/>
          </w:tcPr>
          <w:p>
            <w:pPr>
              <w:rPr>
                <w:rFonts w:asciiTheme="minorEastAsia" w:eastAsiaTheme="minorEastAsia" w:hAnsiTheme="minorEastAsia"/>
                <w:color w:val="auto"/>
                <w:sz w:val="24"/>
                <w:highlight w:val="none"/>
              </w:rPr>
            </w:pPr>
          </w:p>
        </w:tc>
        <w:tc>
          <w:tcPr>
            <w:tcW w:w="1740" w:type="dxa"/>
            <w:vAlign w:val="center"/>
          </w:tcPr>
          <w:p>
            <w:pPr>
              <w:rPr>
                <w:rFonts w:asciiTheme="minorEastAsia" w:eastAsiaTheme="minorEastAsia" w:hAnsiTheme="minorEastAsia"/>
                <w:color w:val="auto"/>
                <w:sz w:val="24"/>
                <w:highlight w:val="none"/>
              </w:rPr>
            </w:pPr>
          </w:p>
        </w:tc>
        <w:tc>
          <w:tcPr>
            <w:tcW w:w="2226" w:type="dxa"/>
            <w:vAlign w:val="center"/>
          </w:tcPr>
          <w:p>
            <w:pPr>
              <w:rPr>
                <w:rFonts w:asciiTheme="minorEastAsia" w:eastAsiaTheme="minorEastAsia" w:hAnsiTheme="minorEastAsia"/>
                <w:color w:val="auto"/>
                <w:sz w:val="24"/>
                <w:highlight w:val="none"/>
              </w:rPr>
            </w:pPr>
          </w:p>
        </w:tc>
        <w:tc>
          <w:tcPr>
            <w:tcW w:w="1601" w:type="dxa"/>
            <w:vAlign w:val="center"/>
          </w:tcPr>
          <w:p>
            <w:pPr>
              <w:rPr>
                <w:rFonts w:asciiTheme="minorEastAsia" w:eastAsiaTheme="minorEastAsia" w:hAnsiTheme="minorEastAsia"/>
                <w:color w:val="auto"/>
                <w:sz w:val="24"/>
                <w:highlight w:val="none"/>
              </w:rPr>
            </w:pPr>
          </w:p>
        </w:tc>
        <w:tc>
          <w:tcPr>
            <w:tcW w:w="1465" w:type="dxa"/>
            <w:vAlign w:val="center"/>
          </w:tcPr>
          <w:p>
            <w:pPr>
              <w:rPr>
                <w:rFonts w:asciiTheme="minorEastAsia" w:eastAsiaTheme="minorEastAsia" w:hAnsiTheme="minorEastAsia"/>
                <w:color w:val="auto"/>
                <w:sz w:val="24"/>
                <w:highlight w:val="none"/>
              </w:rPr>
            </w:pPr>
          </w:p>
        </w:tc>
      </w:tr>
      <w:tr>
        <w:tblPrEx>
          <w:tblW w:w="8944" w:type="dxa"/>
          <w:tblInd w:w="0" w:type="dxa"/>
          <w:tblLayout w:type="fixed"/>
          <w:tblCellMar>
            <w:top w:w="0" w:type="dxa"/>
            <w:left w:w="108" w:type="dxa"/>
            <w:bottom w:w="0" w:type="dxa"/>
            <w:right w:w="108" w:type="dxa"/>
          </w:tblCellMar>
        </w:tblPrEx>
        <w:trPr>
          <w:trHeight w:val="495"/>
        </w:trPr>
        <w:tc>
          <w:tcPr>
            <w:tcW w:w="830" w:type="dxa"/>
            <w:vAlign w:val="center"/>
          </w:tcPr>
          <w:p>
            <w:pPr>
              <w:rPr>
                <w:rFonts w:asciiTheme="minorEastAsia" w:eastAsiaTheme="minorEastAsia" w:hAnsiTheme="minorEastAsia"/>
                <w:sz w:val="24"/>
              </w:rPr>
            </w:pPr>
            <w:r>
              <w:rPr>
                <w:rFonts w:asciiTheme="minorEastAsia" w:eastAsiaTheme="minorEastAsia" w:hAnsiTheme="minorEastAsia" w:hint="eastAsia"/>
                <w:sz w:val="24"/>
              </w:rPr>
              <w:t>……</w:t>
            </w:r>
          </w:p>
        </w:tc>
        <w:tc>
          <w:tcPr>
            <w:tcW w:w="1082" w:type="dxa"/>
            <w:vAlign w:val="center"/>
          </w:tcPr>
          <w:p>
            <w:pPr>
              <w:rPr>
                <w:rFonts w:asciiTheme="minorEastAsia" w:eastAsiaTheme="minorEastAsia" w:hAnsiTheme="minorEastAsia"/>
                <w:sz w:val="24"/>
              </w:rPr>
            </w:pPr>
          </w:p>
        </w:tc>
        <w:tc>
          <w:tcPr>
            <w:tcW w:w="1740" w:type="dxa"/>
            <w:vAlign w:val="center"/>
          </w:tcPr>
          <w:p>
            <w:pPr>
              <w:rPr>
                <w:rFonts w:asciiTheme="minorEastAsia" w:eastAsiaTheme="minorEastAsia" w:hAnsiTheme="minorEastAsia"/>
                <w:sz w:val="24"/>
              </w:rPr>
            </w:pPr>
          </w:p>
        </w:tc>
        <w:tc>
          <w:tcPr>
            <w:tcW w:w="2226" w:type="dxa"/>
            <w:vAlign w:val="center"/>
          </w:tcPr>
          <w:p>
            <w:pPr>
              <w:rPr>
                <w:rFonts w:asciiTheme="minorEastAsia" w:eastAsiaTheme="minorEastAsia" w:hAnsiTheme="minorEastAsia"/>
                <w:sz w:val="24"/>
              </w:rPr>
            </w:pPr>
          </w:p>
        </w:tc>
        <w:tc>
          <w:tcPr>
            <w:tcW w:w="1601" w:type="dxa"/>
            <w:vAlign w:val="center"/>
          </w:tcPr>
          <w:p>
            <w:pPr>
              <w:rPr>
                <w:rFonts w:asciiTheme="minorEastAsia" w:eastAsiaTheme="minorEastAsia" w:hAnsiTheme="minorEastAsia"/>
                <w:sz w:val="24"/>
              </w:rPr>
            </w:pPr>
          </w:p>
        </w:tc>
        <w:tc>
          <w:tcPr>
            <w:tcW w:w="1465" w:type="dxa"/>
            <w:vAlign w:val="center"/>
          </w:tcPr>
          <w:p>
            <w:pPr>
              <w:rPr>
                <w:rFonts w:asciiTheme="minorEastAsia" w:eastAsiaTheme="minorEastAsia" w:hAnsiTheme="minorEastAsia"/>
                <w:sz w:val="24"/>
              </w:rPr>
            </w:pPr>
          </w:p>
        </w:tc>
      </w:tr>
    </w:tbl>
    <w:p>
      <w:pPr>
        <w:spacing w:line="360" w:lineRule="auto"/>
        <w:ind w:right="84" w:rightChars="40"/>
        <w:rPr>
          <w:rFonts w:ascii="宋体" w:hAnsi="宋体"/>
          <w:sz w:val="24"/>
        </w:rPr>
      </w:pPr>
      <w:r>
        <w:rPr>
          <w:rFonts w:ascii="宋体" w:hAnsi="宋体" w:hint="eastAsia"/>
          <w:sz w:val="24"/>
        </w:rPr>
        <w:t>备注：投标人必须按招标文件要求附相关证明文件，如有任何一项不响应或不满足的视为负偏离。</w:t>
      </w:r>
    </w:p>
    <w:p/>
    <w:p>
      <w:r>
        <w:rPr>
          <w:rFonts w:hint="eastAsia"/>
          <w:color w:val="FF0000"/>
        </w:rPr>
        <w:br w:type="page"/>
      </w:r>
    </w:p>
    <w:p>
      <w:pPr>
        <w:pStyle w:val="Heading2"/>
        <w:numPr>
          <w:ilvl w:val="0"/>
          <w:numId w:val="72"/>
        </w:numPr>
        <w:spacing w:line="240" w:lineRule="auto"/>
        <w:jc w:val="center"/>
        <w:rPr>
          <w:b w:val="0"/>
          <w:color w:val="auto"/>
          <w:highlight w:val="none"/>
        </w:rPr>
      </w:pPr>
      <w:bookmarkStart w:id="282" w:name="_Toc15832"/>
      <w:bookmarkStart w:id="283" w:name="_Toc256000050"/>
      <w:r>
        <w:rPr>
          <w:rFonts w:hint="eastAsia"/>
          <w:b w:val="0"/>
          <w:color w:val="auto"/>
          <w:highlight w:val="none"/>
        </w:rPr>
        <w:t>政府采购违法行为风险知悉确认书</w:t>
      </w:r>
      <w:bookmarkEnd w:id="283"/>
      <w:bookmarkEnd w:id="282"/>
    </w:p>
    <w:p>
      <w:pPr>
        <w:pStyle w:val="ListParagraph"/>
        <w:ind w:firstLine="0" w:firstLineChars="0"/>
        <w:jc w:val="center"/>
        <w:rPr>
          <w:color w:val="auto"/>
          <w:sz w:val="36"/>
          <w:szCs w:val="36"/>
          <w:highlight w:val="none"/>
        </w:rPr>
      </w:pPr>
      <w:r>
        <w:rPr>
          <w:rFonts w:ascii="宋体" w:hAnsi="宋体" w:hint="eastAsia"/>
          <w:b/>
          <w:color w:val="auto"/>
          <w:sz w:val="36"/>
          <w:szCs w:val="36"/>
          <w:highlight w:val="none"/>
        </w:rPr>
        <w:t>（非信息公开部分）</w:t>
      </w:r>
    </w:p>
    <w:p>
      <w:pPr>
        <w:ind w:firstLine="420" w:firstLineChars="200"/>
        <w:rPr>
          <w:rFonts w:ascii="宋体" w:hAnsi="宋体" w:cs="宋体"/>
          <w:kern w:val="0"/>
          <w:sz w:val="24"/>
        </w:rPr>
      </w:pPr>
      <w:r>
        <w:rPr>
          <w:rFonts w:ascii="宋体" w:hAnsi="宋体" w:cs="宋体" w:hint="eastAsia"/>
          <w:sz w:val="24"/>
        </w:rPr>
        <w:t>本公司在投标前已充分知悉以下情形为参与政府采购活动时的重大风险事项，并承诺已对下述风险提示事项重点排查，做到严谨、诚信、依法依规参与政府采购活动。</w:t>
      </w:r>
    </w:p>
    <w:p>
      <w:pPr>
        <w:ind w:firstLine="420" w:firstLineChars="200"/>
        <w:rPr>
          <w:rFonts w:ascii="宋体" w:hAnsi="宋体" w:cs="宋体"/>
          <w:sz w:val="24"/>
        </w:rPr>
      </w:pPr>
      <w:r>
        <w:rPr>
          <w:rFonts w:ascii="宋体" w:hAnsi="宋体" w:cs="宋体" w:hint="eastAsia"/>
          <w:b/>
          <w:bCs/>
          <w:sz w:val="24"/>
        </w:rPr>
        <w:t>一、本公司已充分知悉“隐瞒真实情况，提供虚假资料”的法定情形，相关情形包括但不限于</w:t>
      </w:r>
      <w:r>
        <w:rPr>
          <w:rFonts w:ascii="宋体" w:hAnsi="宋体" w:cs="宋体" w:hint="eastAsia"/>
          <w:sz w:val="24"/>
        </w:rPr>
        <w:t>：</w:t>
      </w:r>
    </w:p>
    <w:p>
      <w:pPr>
        <w:ind w:firstLine="420" w:firstLineChars="200"/>
        <w:rPr>
          <w:rFonts w:ascii="宋体" w:hAnsi="宋体" w:cs="宋体"/>
          <w:sz w:val="24"/>
        </w:rPr>
      </w:pPr>
      <w:r>
        <w:rPr>
          <w:rFonts w:ascii="宋体" w:hAnsi="宋体" w:cs="宋体" w:hint="eastAsia"/>
          <w:sz w:val="24"/>
        </w:rPr>
        <w:t>（一）通过转让或者租借等方式从其他单位获取资格或者资质证书投标的。</w:t>
      </w:r>
    </w:p>
    <w:p>
      <w:pPr>
        <w:ind w:firstLine="420" w:firstLineChars="200"/>
        <w:rPr>
          <w:rFonts w:ascii="宋体" w:hAnsi="宋体" w:cs="宋体"/>
          <w:sz w:val="24"/>
        </w:rPr>
      </w:pPr>
      <w:r>
        <w:rPr>
          <w:rFonts w:ascii="宋体" w:hAnsi="宋体" w:cs="宋体" w:hint="eastAsia"/>
          <w:sz w:val="24"/>
        </w:rPr>
        <w:t>（二）由其他单位或者其他单位负责人在投标供应商编制的投标文件上加盖印章或者签字的。</w:t>
      </w:r>
    </w:p>
    <w:p>
      <w:pPr>
        <w:ind w:firstLine="420" w:firstLineChars="200"/>
        <w:rPr>
          <w:rFonts w:ascii="宋体" w:hAnsi="宋体" w:cs="宋体"/>
          <w:sz w:val="24"/>
        </w:rPr>
      </w:pPr>
      <w:r>
        <w:rPr>
          <w:rFonts w:ascii="宋体" w:hAnsi="宋体" w:cs="宋体" w:hint="eastAsia"/>
          <w:sz w:val="24"/>
        </w:rPr>
        <w:t>（三）项目负责人或者主要技术人员不是本单位人员的。</w:t>
      </w:r>
    </w:p>
    <w:p>
      <w:pPr>
        <w:ind w:firstLine="420" w:firstLineChars="200"/>
        <w:rPr>
          <w:rFonts w:ascii="宋体" w:hAnsi="宋体" w:cs="宋体"/>
          <w:sz w:val="24"/>
        </w:rPr>
      </w:pPr>
      <w:r>
        <w:rPr>
          <w:rFonts w:ascii="宋体" w:hAnsi="宋体" w:cs="宋体" w:hint="eastAsia"/>
          <w:sz w:val="24"/>
        </w:rPr>
        <w:t>（四）投标保证金不是从投标供应商基本账户转出的。</w:t>
      </w:r>
    </w:p>
    <w:p>
      <w:pPr>
        <w:ind w:firstLine="420" w:firstLineChars="200"/>
        <w:rPr>
          <w:rFonts w:ascii="宋体" w:hAnsi="宋体" w:cs="宋体"/>
          <w:sz w:val="24"/>
        </w:rPr>
      </w:pPr>
      <w:r>
        <w:rPr>
          <w:rFonts w:ascii="宋体" w:hAnsi="宋体" w:cs="宋体" w:hint="eastAsia"/>
          <w:sz w:val="24"/>
        </w:rPr>
        <w:t>（五）其他隐瞒真实情况、提供虚假资料的行为。</w:t>
      </w:r>
    </w:p>
    <w:p>
      <w:pPr>
        <w:ind w:firstLine="420" w:firstLineChars="200"/>
        <w:rPr>
          <w:rFonts w:ascii="宋体" w:hAnsi="宋体" w:cs="宋体"/>
          <w:sz w:val="24"/>
        </w:rPr>
      </w:pPr>
      <w:r>
        <w:rPr>
          <w:rFonts w:ascii="宋体" w:hAnsi="宋体" w:cs="宋体" w:hint="eastAsia"/>
          <w:b/>
          <w:bCs/>
          <w:sz w:val="24"/>
        </w:rPr>
        <w:t>二、本公司已充分知悉“与其他采购参加人串通投标”的法定情形，相关情形包括但不限于：</w:t>
      </w:r>
    </w:p>
    <w:p>
      <w:pPr>
        <w:ind w:firstLine="420" w:firstLineChars="200"/>
        <w:rPr>
          <w:rFonts w:ascii="宋体" w:hAnsi="宋体" w:cs="宋体"/>
          <w:sz w:val="24"/>
        </w:rPr>
      </w:pPr>
      <w:r>
        <w:rPr>
          <w:rFonts w:ascii="宋体" w:hAnsi="宋体" w:cs="宋体" w:hint="eastAsia"/>
          <w:sz w:val="24"/>
        </w:rPr>
        <w:t xml:space="preserve">（一）投标供应商之间相互约定给予未中标的供应商利益补偿。 </w:t>
      </w:r>
    </w:p>
    <w:p>
      <w:pPr>
        <w:ind w:firstLine="420" w:firstLineChars="200"/>
        <w:rPr>
          <w:rFonts w:ascii="宋体" w:hAnsi="宋体" w:cs="宋体"/>
          <w:sz w:val="24"/>
        </w:rPr>
      </w:pPr>
      <w:r>
        <w:rPr>
          <w:rFonts w:ascii="宋体" w:hAnsi="宋体" w:cs="宋体" w:hint="eastAsia"/>
          <w:sz w:val="24"/>
        </w:rPr>
        <w:t>（二）不同投标供应商的法定代表人、主要经营负责人、项目投标授权代表人、项目负责人、主要技术人员为同一人、属同一单位或者在同一单位缴纳社会保险。</w:t>
      </w:r>
    </w:p>
    <w:p>
      <w:pPr>
        <w:ind w:firstLine="420" w:firstLineChars="200"/>
        <w:rPr>
          <w:rFonts w:ascii="宋体" w:hAnsi="宋体" w:cs="宋体"/>
          <w:sz w:val="24"/>
        </w:rPr>
      </w:pPr>
      <w:r>
        <w:rPr>
          <w:rFonts w:ascii="宋体" w:hAnsi="宋体" w:cs="宋体" w:hint="eastAsia"/>
          <w:sz w:val="24"/>
        </w:rPr>
        <w:t>（三）不同投标供应商的投标文件由同一单位或者同一人编制，或者由同一人分阶段参与编制的。</w:t>
      </w:r>
    </w:p>
    <w:p>
      <w:pPr>
        <w:ind w:firstLine="420" w:firstLineChars="200"/>
        <w:rPr>
          <w:rFonts w:ascii="宋体" w:hAnsi="宋体" w:cs="宋体"/>
          <w:sz w:val="24"/>
        </w:rPr>
      </w:pPr>
      <w:r>
        <w:rPr>
          <w:rFonts w:ascii="宋体" w:hAnsi="宋体" w:cs="宋体" w:hint="eastAsia"/>
          <w:sz w:val="24"/>
        </w:rPr>
        <w:t>（四）不同投标供应商的投标文件或部分投标文件相互混装。</w:t>
      </w:r>
    </w:p>
    <w:p>
      <w:pPr>
        <w:ind w:firstLine="420" w:firstLineChars="200"/>
        <w:rPr>
          <w:rFonts w:ascii="宋体" w:hAnsi="宋体" w:cs="宋体"/>
          <w:sz w:val="24"/>
        </w:rPr>
      </w:pPr>
      <w:r>
        <w:rPr>
          <w:rFonts w:ascii="宋体" w:hAnsi="宋体" w:cs="宋体" w:hint="eastAsia"/>
          <w:sz w:val="24"/>
        </w:rPr>
        <w:t>（五）不同投标供应商的投标文件内容存在非正常一致。</w:t>
      </w:r>
    </w:p>
    <w:p>
      <w:pPr>
        <w:ind w:firstLine="420" w:firstLineChars="200"/>
        <w:rPr>
          <w:rFonts w:ascii="宋体" w:hAnsi="宋体" w:cs="宋体"/>
          <w:sz w:val="24"/>
        </w:rPr>
      </w:pPr>
      <w:r>
        <w:rPr>
          <w:rFonts w:ascii="宋体" w:hAnsi="宋体" w:cs="宋体" w:hint="eastAsia"/>
          <w:sz w:val="24"/>
        </w:rPr>
        <w:t>（六）由同一单位工作人员为两家以上（含两家）供应商进行同一项投标活动的。</w:t>
      </w:r>
    </w:p>
    <w:p>
      <w:pPr>
        <w:ind w:firstLine="420" w:firstLineChars="200"/>
        <w:rPr>
          <w:rFonts w:ascii="宋体" w:hAnsi="宋体" w:cs="宋体"/>
          <w:sz w:val="24"/>
        </w:rPr>
      </w:pPr>
      <w:r>
        <w:rPr>
          <w:rFonts w:ascii="宋体" w:hAnsi="宋体" w:cs="宋体" w:hint="eastAsia"/>
          <w:sz w:val="24"/>
        </w:rPr>
        <w:t>（七）不同投标人的投标报价呈规律性差异。</w:t>
      </w:r>
    </w:p>
    <w:p>
      <w:pPr>
        <w:ind w:firstLine="420" w:firstLineChars="200"/>
        <w:rPr>
          <w:rFonts w:ascii="宋体" w:hAnsi="宋体" w:cs="宋体"/>
          <w:sz w:val="24"/>
        </w:rPr>
      </w:pPr>
      <w:r>
        <w:rPr>
          <w:rFonts w:ascii="宋体" w:hAnsi="宋体" w:cs="宋体" w:hint="eastAsia"/>
          <w:sz w:val="24"/>
        </w:rPr>
        <w:t>（八）不同投标人的投标保证金从同一单位或者个人的账户转出。</w:t>
      </w:r>
    </w:p>
    <w:p>
      <w:pPr>
        <w:ind w:firstLine="420" w:firstLineChars="200"/>
        <w:rPr>
          <w:rFonts w:ascii="宋体" w:hAnsi="宋体" w:cs="宋体"/>
          <w:sz w:val="24"/>
        </w:rPr>
      </w:pPr>
      <w:r>
        <w:rPr>
          <w:rFonts w:ascii="宋体" w:hAnsi="宋体" w:cs="宋体" w:hint="eastAsia"/>
          <w:sz w:val="24"/>
        </w:rPr>
        <w:t>（九）主管部门依照法律、法规认定的其他情形。</w:t>
      </w:r>
    </w:p>
    <w:p>
      <w:pPr>
        <w:ind w:firstLine="420" w:firstLineChars="200"/>
        <w:rPr>
          <w:rFonts w:ascii="宋体" w:hAnsi="宋体" w:cs="宋体"/>
          <w:b/>
          <w:bCs/>
          <w:sz w:val="24"/>
        </w:rPr>
      </w:pPr>
      <w:r>
        <w:rPr>
          <w:rFonts w:ascii="宋体" w:hAnsi="宋体" w:cs="宋体" w:hint="eastAsia"/>
          <w:b/>
          <w:bCs/>
          <w:sz w:val="24"/>
        </w:rPr>
        <w:t>三、本公司已充分知悉下列情形所对应的法律风险，并在投标前已对相关风险事项进行排查。</w:t>
      </w:r>
    </w:p>
    <w:p>
      <w:pPr>
        <w:ind w:firstLine="420" w:firstLineChars="200"/>
        <w:rPr>
          <w:rFonts w:ascii="宋体" w:hAnsi="宋体" w:cs="宋体"/>
          <w:b/>
          <w:bCs/>
          <w:sz w:val="24"/>
        </w:rPr>
      </w:pPr>
      <w:r>
        <w:rPr>
          <w:rFonts w:ascii="宋体" w:hAnsi="宋体" w:cs="宋体" w:hint="eastAsia"/>
          <w:sz w:val="24"/>
        </w:rPr>
        <w:t>（一）对于从其他主体获取的投标资料，供应商应审慎核查，确保投标资料的真实性。</w:t>
      </w:r>
      <w:r>
        <w:rPr>
          <w:rFonts w:ascii="宋体" w:hAnsi="宋体" w:cs="宋体" w:hint="eastAsia"/>
          <w:b/>
          <w:bCs/>
          <w:sz w:val="24"/>
        </w:rPr>
        <w:t>如主管部门查实投标文件中存在虚假资料的，无论相关资料是否由第三方或本公司员工提供，均不影响主管部门对供应商存在“隐瞒真实情况，提供虚假资料”违法行为的认定。</w:t>
      </w:r>
    </w:p>
    <w:p>
      <w:pPr>
        <w:ind w:firstLine="420" w:firstLineChars="200"/>
        <w:rPr>
          <w:rFonts w:ascii="宋体" w:hAnsi="宋体" w:cs="宋体"/>
          <w:sz w:val="24"/>
        </w:rPr>
      </w:pPr>
      <w:r>
        <w:rPr>
          <w:rFonts w:ascii="宋体" w:hAnsi="宋体" w:cs="宋体" w:hint="eastAsia"/>
          <w:sz w:val="24"/>
        </w:rPr>
        <w:t>（二）对于涉及国家机关出具的公文、证件、证明材料等文件，一旦涉嫌虚假，经查实，主管部门将依法从严处理，并移送有关部门追究法律责任；涉嫌犯罪的，主管部门将一并移送司法机关追究法律责任。</w:t>
      </w:r>
    </w:p>
    <w:p>
      <w:pPr>
        <w:ind w:firstLine="420" w:firstLineChars="200"/>
        <w:rPr>
          <w:rFonts w:ascii="宋体" w:hAnsi="宋体" w:cs="宋体"/>
          <w:sz w:val="24"/>
        </w:rPr>
      </w:pPr>
      <w:r>
        <w:rPr>
          <w:rFonts w:ascii="宋体" w:hAnsi="宋体" w:cs="宋体" w:hint="eastAsia"/>
          <w:sz w:val="24"/>
        </w:rPr>
        <w:t xml:space="preserve">（三）对于涉及安全生产、特种作业、抢险救灾、防疫等政府采购项目，供应商实施提供虚假资料、串通投标等违法行为的，主管部门将依法从严处理。 </w:t>
      </w:r>
    </w:p>
    <w:p>
      <w:pPr>
        <w:ind w:firstLine="420" w:firstLineChars="200"/>
        <w:rPr>
          <w:rFonts w:ascii="宋体" w:hAnsi="宋体" w:cs="宋体"/>
          <w:sz w:val="24"/>
        </w:rPr>
      </w:pPr>
      <w:r>
        <w:rPr>
          <w:rFonts w:ascii="宋体" w:hAnsi="宋体" w:cs="宋体" w:hint="eastAsia"/>
          <w:sz w:val="24"/>
        </w:rPr>
        <w:t>（四）供应商应严格规范项目授权代表、员工参与招标投标的行为，加强对投标文件的审核。项目授权代表、员工编制、上传投标文件等行为违反政府采购法律法规或招标文件要求的，投标供应商应当依法承担相应法律责任。</w:t>
      </w:r>
    </w:p>
    <w:p>
      <w:pPr>
        <w:ind w:firstLine="420" w:firstLineChars="200"/>
        <w:jc w:val="left"/>
        <w:rPr>
          <w:rFonts w:ascii="宋体" w:hAnsi="宋体" w:cs="宋体"/>
          <w:sz w:val="24"/>
        </w:rPr>
      </w:pPr>
      <w:r>
        <w:rPr>
          <w:rFonts w:ascii="宋体" w:hAnsi="宋体" w:cs="宋体" w:hint="eastAsia"/>
          <w:sz w:val="24"/>
        </w:rPr>
        <w:t>（五）供应商对投标电子密钥负有妥善保管、及时变更和续期等主体责任。供应商使用电子密钥在深圳政府采购网站进行的活动，均具有法律效力，须承担相应的法律后果。供应商擅自将投标密钥出借他人使用所造成的法律后果，由供应商自行承担。</w:t>
      </w:r>
    </w:p>
    <w:p>
      <w:pPr>
        <w:ind w:firstLine="420" w:firstLineChars="200"/>
        <w:rPr>
          <w:rFonts w:ascii="宋体" w:hAnsi="宋体" w:cs="宋体"/>
          <w:sz w:val="24"/>
        </w:rPr>
      </w:pPr>
      <w:r>
        <w:rPr>
          <w:rFonts w:ascii="宋体" w:hAnsi="宋体" w:cs="宋体" w:hint="eastAsia"/>
          <w:sz w:val="24"/>
        </w:rPr>
        <w:t>（六）单位负责人为同一人或者存在直接控股、管理关系的不同供应商，不得参加同一合同项下的政府采购活动。相关情形如查实，依法作投标无效处理；涉嫌串通投标等违法行为的，主管部门将依法调查处理。</w:t>
      </w:r>
    </w:p>
    <w:p>
      <w:pPr>
        <w:ind w:firstLine="420" w:firstLineChars="200"/>
        <w:rPr>
          <w:rFonts w:ascii="宋体" w:hAnsi="宋体" w:cs="宋体"/>
          <w:b/>
          <w:bCs/>
          <w:sz w:val="24"/>
        </w:rPr>
      </w:pPr>
      <w:r>
        <w:rPr>
          <w:rFonts w:ascii="宋体" w:hAnsi="宋体" w:cs="宋体" w:hint="eastAsia"/>
          <w:b/>
          <w:bCs/>
          <w:sz w:val="24"/>
        </w:rPr>
        <w:t>四、本公司已充分知悉政府采购违法、违规行为的法律后果。</w:t>
      </w:r>
      <w:r>
        <w:rPr>
          <w:rFonts w:ascii="宋体" w:hAnsi="宋体" w:cs="宋体" w:hint="eastAsia"/>
          <w:sz w:val="24"/>
        </w:rPr>
        <w:t>经查实，若投标供应商存在政府采购违法、违规行为，主管部门将依据《深圳经济特区政府采购条例》第五十七条的规定，处以一至三年内禁止参与本市政府采购，并由主管部门记入供应商诚信档案，处采购金额千分之十以上千分之二十以下罚款；情节严重的，取消参与本市政府采购资格，处采购金额千分之二十以上千分之三十以下罚款，并由市场监管部门依法吊销营业执照。</w:t>
      </w:r>
    </w:p>
    <w:p>
      <w:pPr>
        <w:ind w:firstLine="420" w:firstLineChars="200"/>
        <w:rPr>
          <w:rFonts w:ascii="宋体" w:hAnsi="宋体" w:cs="宋体"/>
          <w:b/>
          <w:bCs/>
          <w:sz w:val="24"/>
        </w:rPr>
      </w:pPr>
      <w:r>
        <w:rPr>
          <w:rFonts w:ascii="宋体" w:hAnsi="宋体" w:cs="宋体" w:hint="eastAsia"/>
          <w:b/>
          <w:bCs/>
          <w:sz w:val="24"/>
        </w:rPr>
        <w:t>以下文字请投标供应商抄写并确认：“本公司已仔细阅读《政府采购违法行为风险知悉确认书》，充分知悉违法行为的法律后果，并承诺将严谨、诚信、依法依规参与政府采购活动”。</w:t>
      </w:r>
    </w:p>
    <w:p>
      <w:pPr>
        <w:rPr>
          <w:rFonts w:ascii="宋体" w:hAnsi="宋体" w:cs="宋体"/>
          <w:sz w:val="24"/>
        </w:rPr>
      </w:pPr>
      <w:r>
        <w:rPr>
          <w:rFonts w:ascii="宋体" w:hAnsi="宋体" w:cs="宋体" w:hint="eastAsia"/>
          <w:sz w:val="24"/>
          <w:u w:val="single"/>
        </w:rPr>
        <w:t xml:space="preserve">                                                                             </w:t>
      </w:r>
    </w:p>
    <w:p>
      <w:pPr>
        <w:rPr>
          <w:rFonts w:ascii="宋体" w:hAnsi="宋体" w:cs="宋体"/>
          <w:sz w:val="24"/>
          <w:u w:val="single"/>
        </w:rPr>
      </w:pPr>
      <w:r>
        <w:rPr>
          <w:rFonts w:ascii="宋体" w:hAnsi="宋体" w:cs="宋体" w:hint="eastAsia"/>
          <w:sz w:val="24"/>
          <w:u w:val="single"/>
        </w:rPr>
        <w:t xml:space="preserve">                                                                              </w:t>
      </w:r>
    </w:p>
    <w:p>
      <w:pPr>
        <w:rPr>
          <w:rFonts w:ascii="宋体" w:hAnsi="宋体" w:cs="宋体"/>
          <w:sz w:val="24"/>
        </w:rPr>
      </w:pPr>
      <w:r>
        <w:rPr>
          <w:rFonts w:ascii="宋体" w:hAnsi="宋体" w:cs="宋体" w:hint="eastAsia"/>
          <w:sz w:val="24"/>
          <w:u w:val="single"/>
        </w:rPr>
        <w:t xml:space="preserve">                                                                             </w:t>
      </w:r>
    </w:p>
    <w:p>
      <w:pPr>
        <w:rPr>
          <w:rFonts w:ascii="宋体" w:hAnsi="宋体" w:cs="宋体"/>
          <w:sz w:val="24"/>
        </w:rPr>
      </w:pPr>
      <w:r>
        <w:rPr>
          <w:rFonts w:ascii="宋体" w:hAnsi="宋体" w:cs="宋体" w:hint="eastAsia"/>
          <w:sz w:val="24"/>
          <w:u w:val="single"/>
        </w:rPr>
        <w:t xml:space="preserve">                                                                                </w:t>
      </w:r>
    </w:p>
    <w:p>
      <w:pPr>
        <w:rPr>
          <w:rFonts w:ascii="宋体" w:hAnsi="宋体" w:cs="宋体"/>
          <w:sz w:val="24"/>
          <w:highlight w:val="yellow"/>
        </w:rPr>
      </w:pPr>
    </w:p>
    <w:p>
      <w:pPr>
        <w:rPr>
          <w:rFonts w:ascii="宋体" w:hAnsi="宋体" w:cs="宋体"/>
          <w:sz w:val="24"/>
        </w:rPr>
      </w:pPr>
      <w:r>
        <w:rPr>
          <w:rFonts w:ascii="宋体" w:hAnsi="宋体" w:cs="宋体" w:hint="eastAsia"/>
          <w:sz w:val="24"/>
        </w:rPr>
        <w:t xml:space="preserve">                                          负责人/投标授权代表签名：</w:t>
      </w:r>
    </w:p>
    <w:p>
      <w:pPr>
        <w:ind w:firstLine="4410" w:firstLineChars="2100"/>
        <w:rPr>
          <w:rFonts w:ascii="宋体" w:hAnsi="宋体" w:cs="宋体"/>
          <w:sz w:val="24"/>
        </w:rPr>
      </w:pPr>
      <w:r>
        <w:rPr>
          <w:rFonts w:ascii="宋体" w:hAnsi="宋体" w:cs="宋体" w:hint="eastAsia"/>
          <w:sz w:val="24"/>
        </w:rPr>
        <w:t>知悉人（公章）：</w:t>
      </w:r>
    </w:p>
    <w:p>
      <w:pPr>
        <w:rPr>
          <w:rFonts w:ascii="宋体" w:hAnsi="宋体" w:cs="宋体"/>
          <w:sz w:val="24"/>
        </w:rPr>
      </w:pPr>
      <w:r>
        <w:rPr>
          <w:rFonts w:ascii="宋体" w:hAnsi="宋体" w:cs="宋体" w:hint="eastAsia"/>
          <w:sz w:val="24"/>
        </w:rPr>
        <w:t xml:space="preserve">                                          日期：</w:t>
      </w:r>
    </w:p>
    <w:p>
      <w:pPr>
        <w:spacing w:line="600" w:lineRule="exact"/>
        <w:rPr>
          <w:b/>
          <w:bCs/>
          <w:sz w:val="24"/>
          <w:highlight w:val="none"/>
        </w:rPr>
      </w:pPr>
    </w:p>
    <w:p>
      <w:pPr>
        <w:rPr>
          <w:b/>
          <w:bCs/>
          <w:sz w:val="30"/>
          <w:szCs w:val="30"/>
          <w:highlight w:val="none"/>
        </w:rPr>
      </w:pPr>
      <w:r>
        <w:rPr>
          <w:rFonts w:hint="eastAsia"/>
          <w:b/>
          <w:bCs/>
          <w:sz w:val="24"/>
          <w:highlight w:val="none"/>
        </w:rPr>
        <w:t>注：该风险知悉确认书用于对供应商违法行为的警示，不作为供应商资格性审查及符合性审查条件。</w:t>
      </w:r>
    </w:p>
    <w:p/>
    <w:p/>
    <w:p>
      <w:r>
        <w:rPr>
          <w:rFonts w:hint="eastAsia"/>
        </w:rPr>
        <w:br w:type="page"/>
      </w:r>
    </w:p>
    <w:p>
      <w:pPr>
        <w:pStyle w:val="Heading2"/>
        <w:numPr>
          <w:ilvl w:val="0"/>
          <w:numId w:val="72"/>
        </w:numPr>
        <w:spacing w:line="240" w:lineRule="auto"/>
        <w:jc w:val="center"/>
        <w:rPr>
          <w:b w:val="0"/>
          <w:color w:val="auto"/>
        </w:rPr>
      </w:pPr>
      <w:bookmarkStart w:id="284" w:name="_Toc24394"/>
      <w:bookmarkStart w:id="285" w:name="_Toc256000051"/>
      <w:r>
        <w:rPr>
          <w:rFonts w:hint="eastAsia"/>
          <w:b w:val="0"/>
          <w:color w:val="auto"/>
        </w:rPr>
        <w:t>实施方案</w:t>
      </w:r>
      <w:bookmarkEnd w:id="285"/>
      <w:bookmarkEnd w:id="277"/>
      <w:bookmarkEnd w:id="278"/>
      <w:bookmarkEnd w:id="284"/>
    </w:p>
    <w:p>
      <w:pPr>
        <w:pStyle w:val="ListParagraph"/>
        <w:ind w:left="420" w:firstLine="1564" w:leftChars="200" w:firstLineChars="745"/>
        <w:rPr>
          <w:color w:val="auto"/>
          <w:sz w:val="36"/>
          <w:szCs w:val="36"/>
        </w:rPr>
      </w:pPr>
      <w:r>
        <w:rPr>
          <w:rFonts w:ascii="宋体" w:hAnsi="宋体" w:hint="eastAsia"/>
          <w:b/>
          <w:color w:val="auto"/>
          <w:sz w:val="36"/>
          <w:szCs w:val="36"/>
        </w:rPr>
        <w:t>（非信息公开部分）</w:t>
      </w:r>
    </w:p>
    <w:p/>
    <w:p>
      <w:pPr>
        <w:widowControl/>
        <w:jc w:val="left"/>
        <w:rPr>
          <w:rFonts w:ascii="Arial" w:eastAsia="黑体" w:hAnsi="Arial"/>
          <w:bCs/>
          <w:sz w:val="32"/>
          <w:szCs w:val="32"/>
        </w:rPr>
      </w:pPr>
      <w:r>
        <w:rPr>
          <w:b/>
        </w:rPr>
        <w:br w:type="page"/>
      </w:r>
    </w:p>
    <w:p>
      <w:pPr>
        <w:pStyle w:val="Heading2"/>
        <w:numPr>
          <w:ilvl w:val="0"/>
          <w:numId w:val="72"/>
        </w:numPr>
        <w:spacing w:line="240" w:lineRule="auto"/>
        <w:jc w:val="center"/>
        <w:rPr>
          <w:b w:val="0"/>
          <w:color w:val="auto"/>
        </w:rPr>
      </w:pPr>
      <w:bookmarkStart w:id="286" w:name="_Toc1962"/>
      <w:bookmarkStart w:id="287" w:name="_Toc244"/>
      <w:bookmarkStart w:id="288" w:name="_Toc30664885"/>
      <w:bookmarkStart w:id="289" w:name="_Toc256000052"/>
      <w:r>
        <w:rPr>
          <w:rFonts w:hint="eastAsia"/>
          <w:b w:val="0"/>
          <w:color w:val="auto"/>
        </w:rPr>
        <w:t>项目重点难点分析、应对措施及相关的合理化建议</w:t>
      </w:r>
      <w:bookmarkEnd w:id="289"/>
      <w:bookmarkEnd w:id="286"/>
      <w:bookmarkEnd w:id="287"/>
      <w:bookmarkEnd w:id="288"/>
    </w:p>
    <w:p>
      <w:pPr>
        <w:pStyle w:val="ListParagraph"/>
        <w:ind w:left="420" w:firstLine="1564" w:leftChars="200" w:firstLineChars="745"/>
        <w:rPr>
          <w:rFonts w:ascii="宋体" w:hAnsi="宋体"/>
          <w:b/>
          <w:color w:val="auto"/>
          <w:sz w:val="36"/>
          <w:szCs w:val="36"/>
        </w:rPr>
      </w:pPr>
      <w:r>
        <w:rPr>
          <w:rFonts w:ascii="宋体" w:hAnsi="宋体" w:hint="eastAsia"/>
          <w:b/>
          <w:color w:val="auto"/>
          <w:sz w:val="36"/>
          <w:szCs w:val="36"/>
        </w:rPr>
        <w:t>（非信息公开部分）</w:t>
      </w:r>
    </w:p>
    <w:p>
      <w:pPr>
        <w:pStyle w:val="ListParagraph"/>
        <w:ind w:left="420" w:firstLine="1564" w:leftChars="200" w:firstLineChars="745"/>
        <w:rPr>
          <w:rFonts w:ascii="宋体" w:hAnsi="宋体"/>
          <w:b/>
          <w:sz w:val="36"/>
          <w:szCs w:val="36"/>
        </w:rPr>
      </w:pPr>
    </w:p>
    <w:p>
      <w:pPr>
        <w:rPr>
          <w:b w:val="0"/>
          <w:color w:val="auto"/>
        </w:rPr>
      </w:pPr>
      <w:r>
        <w:rPr>
          <w:rFonts w:hint="eastAsia"/>
          <w:b w:val="0"/>
          <w:color w:val="auto"/>
        </w:rPr>
        <w:br w:type="page"/>
      </w:r>
    </w:p>
    <w:p>
      <w:pPr>
        <w:pStyle w:val="Heading2"/>
        <w:numPr>
          <w:ilvl w:val="0"/>
          <w:numId w:val="72"/>
        </w:numPr>
        <w:spacing w:line="240" w:lineRule="auto"/>
        <w:jc w:val="center"/>
        <w:rPr>
          <w:b w:val="0"/>
          <w:color w:val="auto"/>
        </w:rPr>
      </w:pPr>
      <w:bookmarkStart w:id="290" w:name="_Toc19242"/>
      <w:bookmarkStart w:id="291" w:name="_Toc256000053"/>
      <w:r>
        <w:rPr>
          <w:rFonts w:hint="eastAsia"/>
          <w:b w:val="0"/>
          <w:color w:val="auto"/>
        </w:rPr>
        <w:t>质量（完成时间、安全、环保）保障措施及方案</w:t>
      </w:r>
      <w:bookmarkEnd w:id="291"/>
      <w:bookmarkEnd w:id="290"/>
    </w:p>
    <w:p>
      <w:pPr>
        <w:pStyle w:val="ListParagraph"/>
        <w:ind w:left="420" w:firstLine="1564" w:leftChars="200" w:firstLineChars="745"/>
        <w:rPr>
          <w:rFonts w:ascii="宋体" w:hAnsi="宋体"/>
          <w:b/>
          <w:color w:val="auto"/>
          <w:sz w:val="36"/>
          <w:szCs w:val="36"/>
        </w:rPr>
      </w:pPr>
      <w:r>
        <w:rPr>
          <w:rFonts w:ascii="宋体" w:hAnsi="宋体" w:hint="eastAsia"/>
          <w:b/>
          <w:color w:val="auto"/>
          <w:sz w:val="36"/>
          <w:szCs w:val="36"/>
        </w:rPr>
        <w:t>（非信息公开部分）</w:t>
      </w:r>
    </w:p>
    <w:p>
      <w:pPr>
        <w:rPr>
          <w:b w:val="0"/>
          <w:color w:val="auto"/>
        </w:rPr>
      </w:pPr>
      <w:r>
        <w:rPr>
          <w:rFonts w:hint="eastAsia"/>
          <w:b w:val="0"/>
          <w:color w:val="auto"/>
        </w:rPr>
        <w:br w:type="page"/>
      </w:r>
    </w:p>
    <w:p>
      <w:pPr>
        <w:pStyle w:val="Heading2"/>
        <w:numPr>
          <w:ilvl w:val="0"/>
          <w:numId w:val="72"/>
        </w:numPr>
        <w:spacing w:line="240" w:lineRule="auto"/>
        <w:jc w:val="center"/>
        <w:rPr>
          <w:b w:val="0"/>
          <w:color w:val="auto"/>
        </w:rPr>
      </w:pPr>
      <w:bookmarkStart w:id="292" w:name="_Toc23387"/>
      <w:bookmarkStart w:id="293" w:name="_Toc256000054"/>
      <w:r>
        <w:rPr>
          <w:rFonts w:hint="eastAsia"/>
          <w:b w:val="0"/>
          <w:color w:val="auto"/>
        </w:rPr>
        <w:t>项目完成（服务期满）后的服务承诺</w:t>
      </w:r>
      <w:bookmarkEnd w:id="293"/>
      <w:bookmarkEnd w:id="292"/>
    </w:p>
    <w:p>
      <w:pPr>
        <w:pStyle w:val="ListParagraph"/>
        <w:ind w:left="420" w:firstLine="1564" w:leftChars="200" w:firstLineChars="745"/>
        <w:rPr>
          <w:rFonts w:ascii="宋体" w:hAnsi="宋体"/>
          <w:b/>
          <w:color w:val="auto"/>
          <w:sz w:val="36"/>
          <w:szCs w:val="36"/>
        </w:rPr>
      </w:pPr>
      <w:r>
        <w:rPr>
          <w:rFonts w:ascii="宋体" w:hAnsi="宋体" w:hint="eastAsia"/>
          <w:b/>
          <w:color w:val="auto"/>
          <w:sz w:val="36"/>
          <w:szCs w:val="36"/>
        </w:rPr>
        <w:t>（非信息公开部分）</w:t>
      </w:r>
    </w:p>
    <w:p>
      <w:pPr>
        <w:rPr>
          <w:b w:val="0"/>
          <w:color w:val="auto"/>
        </w:rPr>
      </w:pPr>
      <w:r>
        <w:rPr>
          <w:rFonts w:hint="eastAsia"/>
          <w:b w:val="0"/>
          <w:color w:val="auto"/>
        </w:rPr>
        <w:br w:type="page"/>
      </w:r>
    </w:p>
    <w:p>
      <w:pPr>
        <w:pStyle w:val="Heading2"/>
        <w:numPr>
          <w:ilvl w:val="0"/>
          <w:numId w:val="72"/>
        </w:numPr>
        <w:spacing w:line="240" w:lineRule="auto"/>
        <w:jc w:val="center"/>
        <w:rPr>
          <w:b w:val="0"/>
          <w:color w:val="auto"/>
        </w:rPr>
      </w:pPr>
      <w:bookmarkStart w:id="294" w:name="_Toc10494"/>
      <w:bookmarkStart w:id="295" w:name="_Toc256000055"/>
      <w:r>
        <w:rPr>
          <w:rFonts w:hint="eastAsia"/>
          <w:b w:val="0"/>
          <w:color w:val="auto"/>
        </w:rPr>
        <w:t>违约承诺</w:t>
      </w:r>
      <w:bookmarkEnd w:id="295"/>
      <w:bookmarkEnd w:id="294"/>
    </w:p>
    <w:p>
      <w:pPr>
        <w:pStyle w:val="ListParagraph"/>
        <w:ind w:left="420" w:firstLine="1564" w:leftChars="200" w:firstLineChars="745"/>
        <w:rPr>
          <w:rFonts w:ascii="宋体" w:hAnsi="宋体"/>
          <w:b/>
          <w:color w:val="auto"/>
          <w:sz w:val="36"/>
          <w:szCs w:val="36"/>
        </w:rPr>
      </w:pPr>
      <w:r>
        <w:rPr>
          <w:rFonts w:ascii="宋体" w:hAnsi="宋体" w:hint="eastAsia"/>
          <w:b/>
          <w:color w:val="auto"/>
          <w:sz w:val="36"/>
          <w:szCs w:val="36"/>
        </w:rPr>
        <w:t>（非信息公开部分）</w:t>
      </w:r>
    </w:p>
    <w:p>
      <w:pPr>
        <w:widowControl/>
        <w:jc w:val="left"/>
      </w:pPr>
    </w:p>
    <w:sectPr>
      <w:headerReference w:type="default" r:id="rId17"/>
      <w:pgSz w:w="11906" w:h="16838"/>
      <w:pgMar w:top="1440" w:right="1286" w:bottom="1440" w:left="1440" w:header="851" w:footer="992" w:gutter="0"/>
      <w:cols w:num="1" w:space="72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Cambria Math">
    <w:panose1 w:val="02040503050406030204"/>
    <w:charset w:val="00"/>
    <w:family w:val="roman"/>
    <w:pitch w:val="default"/>
    <w:sig w:usb0="E00006FF" w:usb1="420024FF" w:usb2="02000000"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SourceHanSansCN-Regular">
    <w:altName w:val="Arial"/>
    <w:panose1 w:val="00000000000000000000"/>
    <w:charset w:val="00"/>
    <w:family w:val="auto"/>
    <w:pitch w:val="default"/>
    <w:sig w:usb0="00000000" w:usb1="00000000" w:usb2="00000000" w:usb3="00000000" w:csb0="00000000" w:csb1="00000000"/>
  </w:font>
  <w:font w:name="ˎ̥">
    <w:altName w:val="Times New Roman"/>
    <w:panose1 w:val="00000000000000000000"/>
    <w:charset w:val="00"/>
    <w:family w:val="roman"/>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framePr w:wrap="around" w:vAnchor="text" w:hAnchor="margin" w:xAlign="center" w:y="1"/>
      <w:rPr>
        <w:rStyle w:val="PageNumber"/>
      </w:rPr>
    </w:pPr>
    <w:r>
      <w:fldChar w:fldCharType="begin"/>
    </w:r>
    <w:r>
      <w:rPr>
        <w:rStyle w:val="PageNumber"/>
      </w:rPr>
      <w:instrText xml:space="preserve">PAGE  </w:instrText>
    </w:r>
    <w:r>
      <w:fldChar w:fldCharType="separate"/>
    </w:r>
    <w:r>
      <w:rPr>
        <w:rStyle w:val="PageNumber"/>
      </w:rPr>
      <w:t>2</w:t>
    </w:r>
    <w:r>
      <w:fldChar w:fldCharType="end"/>
    </w:r>
  </w:p>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pPr>
    <w:r>
      <w:rPr>
        <w:rFonts w:hint="eastAsia"/>
      </w:rPr>
      <w:t xml:space="preserve">http://www.chinapsp.cn/                              </w:t>
    </w:r>
    <w:r>
      <w:fldChar w:fldCharType="begin"/>
    </w:r>
    <w:r>
      <w:rPr>
        <w:rStyle w:val="PageNumber"/>
      </w:rPr>
      <w:instrText xml:space="preserve"> PAGE </w:instrText>
    </w:r>
    <w:r>
      <w:fldChar w:fldCharType="separate"/>
    </w:r>
    <w:r>
      <w:rPr>
        <w:rStyle w:val="PageNumber"/>
      </w:rPr>
      <w:t>2</w:t>
    </w:r>
    <w:r>
      <w:fldChar w:fldCharType="end"/>
    </w:r>
    <w:r>
      <w:rPr>
        <w:rFonts w:hint="eastAsia"/>
      </w:rPr>
      <w:t>采联国际招标采购集团有限公司</w:t>
    </w:r>
  </w:p>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pPr>
    <w:r>
      <w:rPr>
        <w:rFonts w:hint="eastAsia"/>
      </w:rPr>
      <w:t>http://www.chinapsp.cn/                   第</w:t>
    </w:r>
    <w:r>
      <w:fldChar w:fldCharType="begin"/>
    </w:r>
    <w:r>
      <w:rPr>
        <w:rStyle w:val="PageNumber"/>
      </w:rPr>
      <w:instrText xml:space="preserve"> PAGE </w:instrText>
    </w:r>
    <w:r>
      <w:fldChar w:fldCharType="separate"/>
    </w:r>
    <w:r>
      <w:rPr>
        <w:rStyle w:val="PageNumber"/>
      </w:rPr>
      <w:t>90</w:t>
    </w:r>
    <w:r>
      <w:fldChar w:fldCharType="end"/>
    </w:r>
    <w:r>
      <w:rPr>
        <w:rStyle w:val="PageNumber"/>
        <w:rFonts w:hint="eastAsia"/>
      </w:rPr>
      <w:t>页，共</w:t>
    </w:r>
    <w:r>
      <w:fldChar w:fldCharType="begin"/>
    </w:r>
    <w:r>
      <w:rPr>
        <w:rStyle w:val="PageNumber"/>
      </w:rPr>
      <w:instrText xml:space="preserve"> NUMPAGES </w:instrText>
    </w:r>
    <w:r>
      <w:fldChar w:fldCharType="separate"/>
    </w:r>
    <w:r>
      <w:rPr>
        <w:rStyle w:val="PageNumber"/>
      </w:rPr>
      <w:t>90</w:t>
    </w:r>
    <w:r>
      <w:fldChar w:fldCharType="end"/>
    </w:r>
    <w:r>
      <w:rPr>
        <w:rStyle w:val="PageNumber"/>
        <w:rFonts w:hint="eastAsia"/>
      </w:rPr>
      <w:t xml:space="preserve">页               </w:t>
    </w:r>
    <w:r>
      <w:rPr>
        <w:rFonts w:hint="eastAsia"/>
      </w:rPr>
      <w:t>采联国际招标采购集团有限公司</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pBdr>
        <w:bottom w:val="nil"/>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pBdr>
        <w:bottom w:val="nil"/>
      </w:pBdr>
      <w:jc w:val="both"/>
      <w:rPr>
        <w:rFonts w:ascii="楷体_GB2312" w:eastAsia="楷体_GB231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jc w:val="both"/>
    </w:pPr>
    <w:r>
      <w:rPr>
        <w:rFonts w:ascii="黑体" w:eastAsia="黑体"/>
        <w:sz w:val="24"/>
      </w:rPr>
      <w:drawing>
        <wp:inline distT="0" distB="0" distL="0" distR="0">
          <wp:extent cx="664845" cy="249555"/>
          <wp:effectExtent l="0" t="0" r="1905" b="17145"/>
          <wp:docPr id="10" name="图片 10" descr="公司LOGO 2013确认版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公司LOGO 2013确认版9"/>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664845" cy="249555"/>
                  </a:xfrm>
                  <a:prstGeom prst="rect">
                    <a:avLst/>
                  </a:prstGeom>
                  <a:noFill/>
                  <a:ln>
                    <a:noFill/>
                  </a:ln>
                </pic:spPr>
              </pic:pic>
            </a:graphicData>
          </a:graphic>
        </wp:inline>
      </w:drawing>
    </w:r>
    <w:r>
      <w:rPr>
        <w:rFonts w:ascii="宋体" w:hAnsi="宋体" w:hint="eastAsia"/>
      </w:rPr>
      <w:t xml:space="preserve"> ︱让︱您︱的︱选︱择︱更︱专︱业︱</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jc w:val="both"/>
      <w:rPr>
        <w:rFonts w:ascii="宋体" w:eastAsia="宋体" w:hAnsi="宋体" w:hint="eastAsia"/>
        <w:color w:val="000000" w:themeColor="text1"/>
        <w:lang w:eastAsia="zh-CN"/>
        <w14:textFill>
          <w14:solidFill>
            <w14:schemeClr w14:val="tx1"/>
          </w14:solidFill>
        </w14:textFill>
      </w:rPr>
    </w:pPr>
    <w:r>
      <w:rPr>
        <w:rFonts w:ascii="宋体" w:hAnsi="宋体" w:hint="eastAsia"/>
      </w:rPr>
      <w:t xml:space="preserve"> </w:t>
    </w:r>
    <w:r>
      <w:drawing>
        <wp:inline distT="0" distB="0" distL="0" distR="0">
          <wp:extent cx="632460" cy="219075"/>
          <wp:effectExtent l="0" t="0" r="15240" b="952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xmlns:r="http://schemas.openxmlformats.org/officeDocument/2006/relationships" r:embed="rId1"/>
                  <a:stretch>
                    <a:fillRect/>
                  </a:stretch>
                </pic:blipFill>
                <pic:spPr>
                  <a:xfrm>
                    <a:off x="0" y="0"/>
                    <a:ext cx="665617" cy="230502"/>
                  </a:xfrm>
                  <a:prstGeom prst="rect">
                    <a:avLst/>
                  </a:prstGeom>
                </pic:spPr>
              </pic:pic>
            </a:graphicData>
          </a:graphic>
        </wp:inline>
      </w:drawing>
    </w:r>
    <w:r>
      <w:rPr>
        <w:rFonts w:ascii="宋体" w:hAnsi="宋体" w:hint="eastAsia"/>
      </w:rPr>
      <w:t xml:space="preserve">让︱您︱的︱选︱择︱更︱专︱业︱               </w:t>
    </w:r>
    <w:r>
      <w:rPr>
        <w:rFonts w:ascii="宋体" w:hAnsi="宋体"/>
      </w:rPr>
      <w:t xml:space="preserve">  </w:t>
    </w:r>
    <w:r>
      <w:rPr>
        <w:rFonts w:ascii="宋体" w:hAnsi="宋体" w:hint="eastAsia"/>
      </w:rPr>
      <w:t xml:space="preserve"> </w:t>
    </w:r>
    <w:r>
      <w:rPr>
        <w:rFonts w:ascii="宋体" w:hint="eastAsia"/>
        <w:bCs/>
        <w:color w:val="000000" w:themeColor="text1"/>
        <w:szCs w:val="20"/>
        <w14:textFill>
          <w14:solidFill>
            <w14:schemeClr w14:val="tx1"/>
          </w14:solidFill>
        </w14:textFill>
      </w:rPr>
      <w:t>项目编号：</w:t>
    </w:r>
    <w:r>
      <w:rPr>
        <w:rFonts w:ascii="宋体" w:hAnsi="宋体" w:hint="eastAsia"/>
        <w:color w:val="000000" w:themeColor="text1"/>
        <w:lang w:eastAsia="zh-CN"/>
        <w14:textFill>
          <w14:solidFill>
            <w14:schemeClr w14:val="tx1"/>
          </w14:solidFill>
        </w14:textFill>
      </w:rPr>
      <w:t>SZDL2022002374（CLF0122SZ17ZC77）</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jc w:val="both"/>
      <w:rPr>
        <w:rFonts w:ascii="宋体" w:eastAsia="宋体" w:hAnsi="宋体" w:hint="eastAsia"/>
        <w:lang w:eastAsia="zh-CN"/>
      </w:rPr>
    </w:pPr>
    <w:r>
      <w:rPr>
        <w:rFonts w:eastAsia="Times New Roman"/>
        <w:snapToGrid w:val="0"/>
        <w:color w:val="000000"/>
        <w:w w:val="0"/>
        <w:kern w:val="0"/>
        <w:sz w:val="0"/>
        <w:szCs w:val="0"/>
        <w:u w:color="000000"/>
        <w:shd w:val="clear" w:color="000000" w:fill="000000"/>
      </w:rPr>
      <w:t xml:space="preserve"> </w:t>
    </w:r>
    <w:r>
      <w:drawing>
        <wp:inline distT="0" distB="0" distL="0" distR="0">
          <wp:extent cx="632460" cy="219075"/>
          <wp:effectExtent l="0" t="0" r="1524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xmlns:r="http://schemas.openxmlformats.org/officeDocument/2006/relationships" r:embed="rId1"/>
                  <a:stretch>
                    <a:fillRect/>
                  </a:stretch>
                </pic:blipFill>
                <pic:spPr>
                  <a:xfrm>
                    <a:off x="0" y="0"/>
                    <a:ext cx="665617" cy="230502"/>
                  </a:xfrm>
                  <a:prstGeom prst="rect">
                    <a:avLst/>
                  </a:prstGeom>
                </pic:spPr>
              </pic:pic>
            </a:graphicData>
          </a:graphic>
        </wp:inline>
      </w:drawing>
    </w:r>
    <w:r>
      <w:rPr>
        <w:rFonts w:ascii="宋体" w:hAnsi="宋体" w:hint="eastAsia"/>
      </w:rPr>
      <w:t xml:space="preserve"> ︱让︱您︱的︱选︱择︱更︱专︱业︱         </w:t>
    </w:r>
    <w:r>
      <w:rPr>
        <w:rFonts w:ascii="宋体" w:hint="eastAsia"/>
        <w:bCs/>
        <w:szCs w:val="20"/>
      </w:rPr>
      <w:t>项目编号：</w:t>
    </w:r>
    <w:r>
      <w:rPr>
        <w:rFonts w:ascii="宋体" w:hAnsi="宋体" w:hint="eastAsia"/>
        <w:lang w:eastAsia="zh-CN"/>
      </w:rPr>
      <w:t>SZDL2022002374（CLF0122SZ17ZC77）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A11D2101"/>
    <w:multiLevelType w:val="multilevel"/>
    <w:tmpl w:val="A11D2101"/>
    <w:lvl w:ilvl="0">
      <w:start w:val="1"/>
      <w:numFmt w:val="chineseCountingThousand"/>
      <w:lvlText w:val="(%1)"/>
      <w:lvlJc w:val="left"/>
      <w:pPr>
        <w:tabs>
          <w:tab w:val="left" w:pos="425"/>
        </w:tabs>
        <w:ind w:left="425" w:hanging="425"/>
      </w:pPr>
      <w:rPr>
        <w:rFonts w:hint="eastAsia"/>
        <w:strike w:val="0"/>
      </w:rPr>
    </w:lvl>
    <w:lvl w:ilvl="1">
      <w:start w:val="1"/>
      <w:numFmt w:val="decimal"/>
      <w:lvlText w:val="%2."/>
      <w:lvlJc w:val="left"/>
      <w:pPr>
        <w:tabs>
          <w:tab w:val="left" w:pos="567"/>
        </w:tabs>
        <w:ind w:left="567" w:hanging="567"/>
      </w:pPr>
      <w:rPr>
        <w:rFonts w:hint="eastAsia"/>
        <w:b w:val="0"/>
        <w:strike w:val="0"/>
        <w:dstrike w:val="0"/>
        <w:color w:val="auto"/>
        <w:sz w:val="24"/>
        <w:szCs w:val="24"/>
      </w:rPr>
    </w:lvl>
    <w:lvl w:ilvl="2">
      <w:start w:val="1"/>
      <w:numFmt w:val="decimal"/>
      <w:lvlText w:val="（%3)"/>
      <w:lvlJc w:val="left"/>
      <w:pPr>
        <w:tabs>
          <w:tab w:val="left" w:pos="567"/>
        </w:tabs>
        <w:ind w:left="567" w:hanging="567"/>
      </w:pPr>
      <w:rPr>
        <w:rFonts w:hint="eastAsia"/>
        <w:b w:val="0"/>
        <w:sz w:val="24"/>
        <w:szCs w:val="24"/>
      </w:rPr>
    </w:lvl>
    <w:lvl w:ilvl="3">
      <w:start w:val="1"/>
      <w:numFmt w:val="decimal"/>
      <w:lvlText w:val="（%4)"/>
      <w:lvlJc w:val="left"/>
      <w:pPr>
        <w:tabs>
          <w:tab w:val="left" w:pos="851"/>
        </w:tabs>
        <w:ind w:left="851" w:hanging="851"/>
      </w:pPr>
      <w:rPr>
        <w:rFonts w:hint="eastAsia"/>
        <w:dstrike w:val="0"/>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1">
    <w:nsid w:val="A7F64A8B"/>
    <w:multiLevelType w:val="multilevel"/>
    <w:tmpl w:val="A7F64A8B"/>
    <w:lvl w:ilvl="0">
      <w:start w:val="1"/>
      <w:numFmt w:val="chineseCountingThousand"/>
      <w:lvlText w:val="(%1)"/>
      <w:lvlJc w:val="left"/>
      <w:pPr>
        <w:tabs>
          <w:tab w:val="left" w:pos="425"/>
        </w:tabs>
        <w:ind w:left="425" w:hanging="425"/>
      </w:pPr>
      <w:rPr>
        <w:rFonts w:hint="eastAsia"/>
        <w:strike w:val="0"/>
      </w:rPr>
    </w:lvl>
    <w:lvl w:ilvl="1">
      <w:start w:val="1"/>
      <w:numFmt w:val="decimal"/>
      <w:lvlText w:val="%2."/>
      <w:lvlJc w:val="left"/>
      <w:pPr>
        <w:tabs>
          <w:tab w:val="left" w:pos="567"/>
        </w:tabs>
        <w:ind w:left="567" w:hanging="567"/>
      </w:pPr>
      <w:rPr>
        <w:rFonts w:hint="eastAsia"/>
        <w:b w:val="0"/>
        <w:strike w:val="0"/>
        <w:dstrike w:val="0"/>
        <w:color w:val="auto"/>
        <w:sz w:val="24"/>
        <w:szCs w:val="24"/>
      </w:rPr>
    </w:lvl>
    <w:lvl w:ilvl="2">
      <w:start w:val="1"/>
      <w:numFmt w:val="decimal"/>
      <w:lvlText w:val="（%3)"/>
      <w:lvlJc w:val="left"/>
      <w:pPr>
        <w:tabs>
          <w:tab w:val="left" w:pos="567"/>
        </w:tabs>
        <w:ind w:left="567" w:hanging="567"/>
      </w:pPr>
      <w:rPr>
        <w:rFonts w:hint="eastAsia"/>
        <w:b w:val="0"/>
        <w:sz w:val="24"/>
        <w:szCs w:val="24"/>
      </w:rPr>
    </w:lvl>
    <w:lvl w:ilvl="3">
      <w:start w:val="1"/>
      <w:numFmt w:val="decimal"/>
      <w:lvlText w:val="（%4)"/>
      <w:lvlJc w:val="left"/>
      <w:pPr>
        <w:tabs>
          <w:tab w:val="left" w:pos="851"/>
        </w:tabs>
        <w:ind w:left="851" w:hanging="851"/>
      </w:pPr>
      <w:rPr>
        <w:rFonts w:hint="eastAsia"/>
        <w:dstrike w:val="0"/>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
    <w:nsid w:val="A9486B93"/>
    <w:multiLevelType w:val="multilevel"/>
    <w:tmpl w:val="A9486B93"/>
    <w:lvl w:ilvl="0">
      <w:start w:val="1"/>
      <w:numFmt w:val="chineseCountingThousand"/>
      <w:lvlText w:val="(%1)"/>
      <w:lvlJc w:val="left"/>
      <w:pPr>
        <w:tabs>
          <w:tab w:val="left" w:pos="425"/>
        </w:tabs>
        <w:ind w:left="425" w:hanging="425"/>
      </w:pPr>
      <w:rPr>
        <w:rFonts w:hint="eastAsia"/>
        <w:strike w:val="0"/>
      </w:rPr>
    </w:lvl>
    <w:lvl w:ilvl="1">
      <w:start w:val="1"/>
      <w:numFmt w:val="decimal"/>
      <w:lvlText w:val="%2."/>
      <w:lvlJc w:val="left"/>
      <w:pPr>
        <w:tabs>
          <w:tab w:val="left" w:pos="567"/>
        </w:tabs>
        <w:ind w:left="567" w:hanging="567"/>
      </w:pPr>
      <w:rPr>
        <w:rFonts w:hint="eastAsia"/>
        <w:b w:val="0"/>
        <w:strike w:val="0"/>
        <w:dstrike w:val="0"/>
        <w:color w:val="auto"/>
        <w:sz w:val="24"/>
        <w:szCs w:val="24"/>
      </w:rPr>
    </w:lvl>
    <w:lvl w:ilvl="2">
      <w:start w:val="1"/>
      <w:numFmt w:val="decimal"/>
      <w:lvlText w:val="（%3)"/>
      <w:lvlJc w:val="left"/>
      <w:pPr>
        <w:tabs>
          <w:tab w:val="left" w:pos="567"/>
        </w:tabs>
        <w:ind w:left="567" w:hanging="567"/>
      </w:pPr>
      <w:rPr>
        <w:rFonts w:hint="eastAsia"/>
        <w:b w:val="0"/>
        <w:sz w:val="24"/>
        <w:szCs w:val="24"/>
      </w:rPr>
    </w:lvl>
    <w:lvl w:ilvl="3">
      <w:start w:val="1"/>
      <w:numFmt w:val="decimal"/>
      <w:lvlText w:val="（%4)"/>
      <w:lvlJc w:val="left"/>
      <w:pPr>
        <w:tabs>
          <w:tab w:val="left" w:pos="851"/>
        </w:tabs>
        <w:ind w:left="851" w:hanging="851"/>
      </w:pPr>
      <w:rPr>
        <w:rFonts w:hint="eastAsia"/>
        <w:dstrike w:val="0"/>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3">
    <w:nsid w:val="ADEF5DC2"/>
    <w:multiLevelType w:val="singleLevel"/>
    <w:tmpl w:val="ADEF5DC2"/>
    <w:lvl w:ilvl="0">
      <w:start w:val="1"/>
      <w:numFmt w:val="chineseCounting"/>
      <w:suff w:val="nothing"/>
      <w:lvlText w:val="（%1）"/>
      <w:lvlJc w:val="left"/>
      <w:pPr>
        <w:ind w:left="0" w:firstLine="420"/>
      </w:pPr>
      <w:rPr>
        <w:rFonts w:hint="eastAsia"/>
      </w:rPr>
    </w:lvl>
  </w:abstractNum>
  <w:abstractNum w:abstractNumId="4">
    <w:nsid w:val="B0D51859"/>
    <w:multiLevelType w:val="singleLevel"/>
    <w:tmpl w:val="B0D51859"/>
    <w:lvl w:ilvl="0">
      <w:start w:val="1"/>
      <w:numFmt w:val="decimal"/>
      <w:lvlText w:val="%1."/>
      <w:lvlJc w:val="left"/>
      <w:pPr>
        <w:ind w:left="425" w:hanging="425"/>
      </w:pPr>
      <w:rPr>
        <w:rFonts w:hint="default"/>
      </w:rPr>
    </w:lvl>
  </w:abstractNum>
  <w:abstractNum w:abstractNumId="5">
    <w:nsid w:val="BD677201"/>
    <w:multiLevelType w:val="multilevel"/>
    <w:tmpl w:val="BD677201"/>
    <w:lvl w:ilvl="0">
      <w:start w:val="1"/>
      <w:numFmt w:val="chineseCountingThousand"/>
      <w:lvlText w:val="%1、"/>
      <w:lvlJc w:val="left"/>
      <w:pPr>
        <w:ind w:left="425" w:hanging="425"/>
      </w:pPr>
      <w:rPr>
        <w:rFonts w:ascii="宋体" w:eastAsia="宋体" w:hAnsi="宋体" w:cs="宋体" w:hint="eastAsia"/>
        <w:b w:val="0"/>
        <w:sz w:val="24"/>
        <w:szCs w:val="24"/>
      </w:rPr>
    </w:lvl>
    <w:lvl w:ilvl="1">
      <w:start w:val="1"/>
      <w:numFmt w:val="chineseCountingThousand"/>
      <w:lvlText w:val="(%2)"/>
      <w:lvlJc w:val="left"/>
      <w:pPr>
        <w:ind w:left="567" w:hanging="567"/>
      </w:pPr>
      <w:rPr>
        <w:rFonts w:ascii="宋体" w:eastAsia="宋体" w:hAnsi="宋体" w:cs="宋体" w:hint="eastAsia"/>
        <w:b w:val="0"/>
        <w:sz w:val="24"/>
        <w:szCs w:val="24"/>
      </w:rPr>
    </w:lvl>
    <w:lvl w:ilvl="2">
      <w:start w:val="1"/>
      <w:numFmt w:val="decimal"/>
      <w:lvlText w:val="%3."/>
      <w:lvlJc w:val="left"/>
      <w:pPr>
        <w:ind w:left="709" w:hanging="709"/>
      </w:pPr>
      <w:rPr>
        <w:rFonts w:ascii="宋体" w:eastAsia="宋体" w:hAnsi="宋体" w:cs="宋体" w:hint="eastAsia"/>
        <w:b w:val="0"/>
      </w:rPr>
    </w:lvl>
    <w:lvl w:ilvl="3">
      <w:start w:val="1"/>
      <w:numFmt w:val="decimal"/>
      <w:lvlText w:val="%1.%2.%3.%4."/>
      <w:lvlJc w:val="left"/>
      <w:pPr>
        <w:ind w:left="851" w:hanging="851"/>
      </w:pPr>
      <w:rPr>
        <w:rFonts w:ascii="Times New Roman" w:hAnsi="Times New Roman" w:cs="Times New Roman" w:hint="default"/>
      </w:rPr>
    </w:lvl>
    <w:lvl w:ilvl="4">
      <w:start w:val="1"/>
      <w:numFmt w:val="decimal"/>
      <w:lvlText w:val="%1.%2.%3.%4.%5."/>
      <w:lvlJc w:val="left"/>
      <w:pPr>
        <w:ind w:left="992" w:hanging="992"/>
      </w:pPr>
      <w:rPr>
        <w:rFonts w:ascii="Times New Roman" w:hAnsi="Times New Roman" w:cs="Times New Roman" w:hint="default"/>
      </w:rPr>
    </w:lvl>
    <w:lvl w:ilvl="5">
      <w:start w:val="1"/>
      <w:numFmt w:val="decimal"/>
      <w:lvlText w:val="%1.%2.%3.%4.%5.%6."/>
      <w:lvlJc w:val="left"/>
      <w:pPr>
        <w:ind w:left="1134" w:hanging="1134"/>
      </w:pPr>
      <w:rPr>
        <w:rFonts w:ascii="Times New Roman" w:hAnsi="Times New Roman" w:cs="Times New Roman" w:hint="default"/>
      </w:rPr>
    </w:lvl>
    <w:lvl w:ilvl="6">
      <w:start w:val="1"/>
      <w:numFmt w:val="decimal"/>
      <w:lvlText w:val="%1.%2.%3.%4.%5.%6.%7."/>
      <w:lvlJc w:val="left"/>
      <w:pPr>
        <w:ind w:left="1276" w:hanging="1276"/>
      </w:pPr>
      <w:rPr>
        <w:rFonts w:ascii="Times New Roman" w:hAnsi="Times New Roman" w:cs="Times New Roman" w:hint="default"/>
      </w:rPr>
    </w:lvl>
    <w:lvl w:ilvl="7">
      <w:start w:val="1"/>
      <w:numFmt w:val="decimal"/>
      <w:lvlText w:val="%1.%2.%3.%4.%5.%6.%7.%8."/>
      <w:lvlJc w:val="left"/>
      <w:pPr>
        <w:ind w:left="1418" w:hanging="1418"/>
      </w:pPr>
      <w:rPr>
        <w:rFonts w:ascii="Times New Roman" w:hAnsi="Times New Roman" w:cs="Times New Roman" w:hint="default"/>
      </w:rPr>
    </w:lvl>
    <w:lvl w:ilvl="8">
      <w:start w:val="1"/>
      <w:numFmt w:val="decimal"/>
      <w:lvlText w:val="%1.%2.%3.%4.%5.%6.%7.%8.%9."/>
      <w:lvlJc w:val="left"/>
      <w:pPr>
        <w:ind w:left="1559" w:hanging="1559"/>
      </w:pPr>
      <w:rPr>
        <w:rFonts w:ascii="Times New Roman" w:hAnsi="Times New Roman" w:cs="Times New Roman" w:hint="default"/>
      </w:rPr>
    </w:lvl>
  </w:abstractNum>
  <w:abstractNum w:abstractNumId="6">
    <w:nsid w:val="C06398AC"/>
    <w:multiLevelType w:val="multilevel"/>
    <w:tmpl w:val="C06398AC"/>
    <w:lvl w:ilvl="0">
      <w:start w:val="1"/>
      <w:numFmt w:val="chineseCountingThousand"/>
      <w:lvlText w:val="(%1)"/>
      <w:lvlJc w:val="left"/>
      <w:pPr>
        <w:tabs>
          <w:tab w:val="left" w:pos="425"/>
        </w:tabs>
        <w:ind w:left="425" w:hanging="425"/>
      </w:pPr>
      <w:rPr>
        <w:rFonts w:hint="eastAsia"/>
        <w:strike w:val="0"/>
      </w:rPr>
    </w:lvl>
    <w:lvl w:ilvl="1">
      <w:start w:val="1"/>
      <w:numFmt w:val="decimal"/>
      <w:lvlText w:val="%2."/>
      <w:lvlJc w:val="left"/>
      <w:pPr>
        <w:tabs>
          <w:tab w:val="left" w:pos="567"/>
        </w:tabs>
        <w:ind w:left="567" w:hanging="567"/>
      </w:pPr>
      <w:rPr>
        <w:rFonts w:hint="eastAsia"/>
        <w:b w:val="0"/>
        <w:strike w:val="0"/>
        <w:dstrike w:val="0"/>
        <w:color w:val="auto"/>
        <w:sz w:val="24"/>
        <w:szCs w:val="24"/>
      </w:rPr>
    </w:lvl>
    <w:lvl w:ilvl="2">
      <w:start w:val="1"/>
      <w:numFmt w:val="decimal"/>
      <w:lvlText w:val="（%3)"/>
      <w:lvlJc w:val="left"/>
      <w:pPr>
        <w:tabs>
          <w:tab w:val="left" w:pos="567"/>
        </w:tabs>
        <w:ind w:left="567" w:hanging="567"/>
      </w:pPr>
      <w:rPr>
        <w:rFonts w:hint="eastAsia"/>
        <w:b w:val="0"/>
        <w:sz w:val="24"/>
        <w:szCs w:val="24"/>
      </w:rPr>
    </w:lvl>
    <w:lvl w:ilvl="3">
      <w:start w:val="1"/>
      <w:numFmt w:val="decimal"/>
      <w:lvlText w:val="（%4)"/>
      <w:lvlJc w:val="left"/>
      <w:pPr>
        <w:tabs>
          <w:tab w:val="left" w:pos="851"/>
        </w:tabs>
        <w:ind w:left="851" w:hanging="851"/>
      </w:pPr>
      <w:rPr>
        <w:rFonts w:hint="eastAsia"/>
        <w:dstrike w:val="0"/>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7">
    <w:nsid w:val="DFFAC77E"/>
    <w:multiLevelType w:val="multilevel"/>
    <w:tmpl w:val="DFFAC77E"/>
    <w:lvl w:ilvl="0">
      <w:start w:val="1"/>
      <w:numFmt w:val="chineseCountingThousand"/>
      <w:lvlText w:val="%1、"/>
      <w:lvlJc w:val="left"/>
      <w:pPr>
        <w:ind w:left="425" w:hanging="425"/>
      </w:pPr>
      <w:rPr>
        <w:rFonts w:ascii="宋体" w:eastAsia="宋体" w:hAnsi="宋体" w:cs="宋体" w:hint="eastAsia"/>
        <w:b w:val="0"/>
        <w:sz w:val="24"/>
        <w:szCs w:val="24"/>
      </w:rPr>
    </w:lvl>
    <w:lvl w:ilvl="1">
      <w:start w:val="1"/>
      <w:numFmt w:val="chineseCountingThousand"/>
      <w:lvlText w:val="(%2)"/>
      <w:lvlJc w:val="left"/>
      <w:pPr>
        <w:ind w:left="567" w:hanging="567"/>
      </w:pPr>
      <w:rPr>
        <w:rFonts w:ascii="宋体" w:eastAsia="宋体" w:hAnsi="宋体" w:cs="宋体" w:hint="eastAsia"/>
        <w:b w:val="0"/>
        <w:sz w:val="24"/>
        <w:szCs w:val="24"/>
      </w:rPr>
    </w:lvl>
    <w:lvl w:ilvl="2">
      <w:start w:val="1"/>
      <w:numFmt w:val="decimal"/>
      <w:lvlText w:val="%3."/>
      <w:lvlJc w:val="left"/>
      <w:pPr>
        <w:ind w:left="709" w:hanging="709"/>
      </w:pPr>
      <w:rPr>
        <w:rFonts w:ascii="宋体" w:eastAsia="宋体" w:hAnsi="宋体" w:cs="宋体" w:hint="eastAsia"/>
        <w:b w:val="0"/>
      </w:rPr>
    </w:lvl>
    <w:lvl w:ilvl="3">
      <w:start w:val="1"/>
      <w:numFmt w:val="decimal"/>
      <w:lvlText w:val="%1.%2.%3.%4."/>
      <w:lvlJc w:val="left"/>
      <w:pPr>
        <w:ind w:left="851" w:hanging="851"/>
      </w:pPr>
      <w:rPr>
        <w:rFonts w:ascii="Times New Roman" w:hAnsi="Times New Roman" w:cs="Times New Roman" w:hint="default"/>
      </w:rPr>
    </w:lvl>
    <w:lvl w:ilvl="4">
      <w:start w:val="1"/>
      <w:numFmt w:val="decimal"/>
      <w:lvlText w:val="%1.%2.%3.%4.%5."/>
      <w:lvlJc w:val="left"/>
      <w:pPr>
        <w:ind w:left="992" w:hanging="992"/>
      </w:pPr>
      <w:rPr>
        <w:rFonts w:ascii="Times New Roman" w:hAnsi="Times New Roman" w:cs="Times New Roman" w:hint="default"/>
      </w:rPr>
    </w:lvl>
    <w:lvl w:ilvl="5">
      <w:start w:val="1"/>
      <w:numFmt w:val="decimal"/>
      <w:lvlText w:val="%1.%2.%3.%4.%5.%6."/>
      <w:lvlJc w:val="left"/>
      <w:pPr>
        <w:ind w:left="1134" w:hanging="1134"/>
      </w:pPr>
      <w:rPr>
        <w:rFonts w:ascii="Times New Roman" w:hAnsi="Times New Roman" w:cs="Times New Roman" w:hint="default"/>
      </w:rPr>
    </w:lvl>
    <w:lvl w:ilvl="6">
      <w:start w:val="1"/>
      <w:numFmt w:val="decimal"/>
      <w:lvlText w:val="%1.%2.%3.%4.%5.%6.%7."/>
      <w:lvlJc w:val="left"/>
      <w:pPr>
        <w:ind w:left="1276" w:hanging="1276"/>
      </w:pPr>
      <w:rPr>
        <w:rFonts w:ascii="Times New Roman" w:hAnsi="Times New Roman" w:cs="Times New Roman" w:hint="default"/>
      </w:rPr>
    </w:lvl>
    <w:lvl w:ilvl="7">
      <w:start w:val="1"/>
      <w:numFmt w:val="decimal"/>
      <w:lvlText w:val="%1.%2.%3.%4.%5.%6.%7.%8."/>
      <w:lvlJc w:val="left"/>
      <w:pPr>
        <w:ind w:left="1418" w:hanging="1418"/>
      </w:pPr>
      <w:rPr>
        <w:rFonts w:ascii="Times New Roman" w:hAnsi="Times New Roman" w:cs="Times New Roman" w:hint="default"/>
      </w:rPr>
    </w:lvl>
    <w:lvl w:ilvl="8">
      <w:start w:val="1"/>
      <w:numFmt w:val="decimal"/>
      <w:lvlText w:val="%1.%2.%3.%4.%5.%6.%7.%8.%9."/>
      <w:lvlJc w:val="left"/>
      <w:pPr>
        <w:ind w:left="1559" w:hanging="1559"/>
      </w:pPr>
      <w:rPr>
        <w:rFonts w:ascii="Times New Roman" w:hAnsi="Times New Roman" w:cs="Times New Roman" w:hint="default"/>
      </w:rPr>
    </w:lvl>
  </w:abstractNum>
  <w:abstractNum w:abstractNumId="8">
    <w:nsid w:val="E59A7E03"/>
    <w:multiLevelType w:val="singleLevel"/>
    <w:tmpl w:val="E59A7E03"/>
    <w:lvl w:ilvl="0">
      <w:start w:val="1"/>
      <w:numFmt w:val="decimal"/>
      <w:lvlText w:val="%1."/>
      <w:lvlJc w:val="left"/>
      <w:pPr>
        <w:ind w:left="425" w:hanging="425"/>
      </w:pPr>
      <w:rPr>
        <w:rFonts w:hint="default"/>
      </w:rPr>
    </w:lvl>
  </w:abstractNum>
  <w:abstractNum w:abstractNumId="9">
    <w:nsid w:val="F3FFA56C"/>
    <w:multiLevelType w:val="multilevel"/>
    <w:tmpl w:val="F3FFA56C"/>
    <w:lvl w:ilvl="0">
      <w:start w:val="1"/>
      <w:numFmt w:val="chineseCountingThousand"/>
      <w:lvlText w:val="%1、"/>
      <w:lvlJc w:val="left"/>
      <w:pPr>
        <w:ind w:left="425" w:hanging="425"/>
      </w:pPr>
      <w:rPr>
        <w:rFonts w:ascii="宋体" w:eastAsia="宋体" w:hAnsi="宋体" w:cs="宋体" w:hint="eastAsia"/>
        <w:b w:val="0"/>
        <w:sz w:val="24"/>
        <w:szCs w:val="24"/>
      </w:rPr>
    </w:lvl>
    <w:lvl w:ilvl="1">
      <w:start w:val="1"/>
      <w:numFmt w:val="chineseCountingThousand"/>
      <w:lvlText w:val="(%2)"/>
      <w:lvlJc w:val="left"/>
      <w:pPr>
        <w:ind w:left="567" w:hanging="567"/>
      </w:pPr>
      <w:rPr>
        <w:rFonts w:ascii="宋体" w:eastAsia="宋体" w:hAnsi="宋体" w:cs="宋体" w:hint="eastAsia"/>
        <w:b w:val="0"/>
        <w:sz w:val="24"/>
        <w:szCs w:val="24"/>
      </w:rPr>
    </w:lvl>
    <w:lvl w:ilvl="2">
      <w:start w:val="1"/>
      <w:numFmt w:val="decimal"/>
      <w:lvlText w:val="%3."/>
      <w:lvlJc w:val="left"/>
      <w:pPr>
        <w:ind w:left="709" w:hanging="709"/>
      </w:pPr>
      <w:rPr>
        <w:rFonts w:ascii="宋体" w:eastAsia="宋体" w:hAnsi="宋体" w:cs="宋体" w:hint="eastAsia"/>
        <w:b w:val="0"/>
      </w:rPr>
    </w:lvl>
    <w:lvl w:ilvl="3">
      <w:start w:val="1"/>
      <w:numFmt w:val="decimal"/>
      <w:lvlText w:val="%1.%2.%3.%4."/>
      <w:lvlJc w:val="left"/>
      <w:pPr>
        <w:ind w:left="851" w:hanging="851"/>
      </w:pPr>
      <w:rPr>
        <w:rFonts w:ascii="Times New Roman" w:hAnsi="Times New Roman" w:cs="Times New Roman" w:hint="default"/>
      </w:rPr>
    </w:lvl>
    <w:lvl w:ilvl="4">
      <w:start w:val="1"/>
      <w:numFmt w:val="decimal"/>
      <w:lvlText w:val="%1.%2.%3.%4.%5."/>
      <w:lvlJc w:val="left"/>
      <w:pPr>
        <w:ind w:left="992" w:hanging="992"/>
      </w:pPr>
      <w:rPr>
        <w:rFonts w:ascii="Times New Roman" w:hAnsi="Times New Roman" w:cs="Times New Roman" w:hint="default"/>
      </w:rPr>
    </w:lvl>
    <w:lvl w:ilvl="5">
      <w:start w:val="1"/>
      <w:numFmt w:val="decimal"/>
      <w:lvlText w:val="%1.%2.%3.%4.%5.%6."/>
      <w:lvlJc w:val="left"/>
      <w:pPr>
        <w:ind w:left="1134" w:hanging="1134"/>
      </w:pPr>
      <w:rPr>
        <w:rFonts w:ascii="Times New Roman" w:hAnsi="Times New Roman" w:cs="Times New Roman" w:hint="default"/>
      </w:rPr>
    </w:lvl>
    <w:lvl w:ilvl="6">
      <w:start w:val="1"/>
      <w:numFmt w:val="decimal"/>
      <w:lvlText w:val="%1.%2.%3.%4.%5.%6.%7."/>
      <w:lvlJc w:val="left"/>
      <w:pPr>
        <w:ind w:left="1276" w:hanging="1276"/>
      </w:pPr>
      <w:rPr>
        <w:rFonts w:ascii="Times New Roman" w:hAnsi="Times New Roman" w:cs="Times New Roman" w:hint="default"/>
      </w:rPr>
    </w:lvl>
    <w:lvl w:ilvl="7">
      <w:start w:val="1"/>
      <w:numFmt w:val="decimal"/>
      <w:lvlText w:val="%1.%2.%3.%4.%5.%6.%7.%8."/>
      <w:lvlJc w:val="left"/>
      <w:pPr>
        <w:ind w:left="1418" w:hanging="1418"/>
      </w:pPr>
      <w:rPr>
        <w:rFonts w:ascii="Times New Roman" w:hAnsi="Times New Roman" w:cs="Times New Roman" w:hint="default"/>
      </w:rPr>
    </w:lvl>
    <w:lvl w:ilvl="8">
      <w:start w:val="1"/>
      <w:numFmt w:val="decimal"/>
      <w:lvlText w:val="%1.%2.%3.%4.%5.%6.%7.%8.%9."/>
      <w:lvlJc w:val="left"/>
      <w:pPr>
        <w:ind w:left="1559" w:hanging="1559"/>
      </w:pPr>
      <w:rPr>
        <w:rFonts w:ascii="Times New Roman" w:hAnsi="Times New Roman" w:cs="Times New Roman" w:hint="default"/>
      </w:rPr>
    </w:lvl>
  </w:abstractNum>
  <w:abstractNum w:abstractNumId="10">
    <w:nsid w:val="FB062910"/>
    <w:multiLevelType w:val="singleLevel"/>
    <w:tmpl w:val="FB062910"/>
    <w:lvl w:ilvl="0">
      <w:start w:val="1"/>
      <w:numFmt w:val="chineseCounting"/>
      <w:suff w:val="nothing"/>
      <w:lvlText w:val="（%1）"/>
      <w:lvlJc w:val="left"/>
      <w:pPr>
        <w:ind w:left="0" w:firstLine="420"/>
      </w:pPr>
      <w:rPr>
        <w:rFonts w:hint="eastAsia"/>
      </w:rPr>
    </w:lvl>
  </w:abstractNum>
  <w:abstractNum w:abstractNumId="11">
    <w:nsid w:val="00000012"/>
    <w:multiLevelType w:val="multilevel"/>
    <w:tmpl w:val="00000012"/>
    <w:lvl w:ilvl="0">
      <w:start w:val="1"/>
      <w:numFmt w:val="japaneseCounting"/>
      <w:lvlText w:val="%1、"/>
      <w:lvlJc w:val="left"/>
      <w:pPr>
        <w:ind w:left="360" w:hanging="360"/>
      </w:pPr>
      <w:rPr>
        <w:color w:val="auto"/>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00CC4FE1"/>
    <w:multiLevelType w:val="multilevel"/>
    <w:tmpl w:val="00CC4FE1"/>
    <w:lvl w:ilvl="0">
      <w:start w:val="1"/>
      <w:numFmt w:val="chineseCountingThousand"/>
      <w:lvlText w:val="(%1)"/>
      <w:lvlJc w:val="left"/>
      <w:pPr>
        <w:tabs>
          <w:tab w:val="left" w:pos="420"/>
        </w:tabs>
        <w:ind w:left="420" w:hanging="420"/>
      </w:pPr>
      <w:rPr>
        <w:color w:val="auto"/>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3">
    <w:nsid w:val="04304859"/>
    <w:multiLevelType w:val="multilevel"/>
    <w:tmpl w:val="04304859"/>
    <w:lvl w:ilvl="0">
      <w:start w:val="1"/>
      <w:numFmt w:val="decimal"/>
      <w:lvlText w:val="%1."/>
      <w:lvlJc w:val="left"/>
      <w:pPr>
        <w:ind w:left="840" w:hanging="420"/>
      </w:pPr>
      <w:rPr>
        <w:rFonts w:hint="eastAsia"/>
        <w:b/>
      </w:rPr>
    </w:lvl>
    <w:lvl w:ilvl="1">
      <w:start w:val="1"/>
      <w:numFmt w:val="decimal"/>
      <w:lvlText w:val="（%2)"/>
      <w:lvlJc w:val="left"/>
      <w:pPr>
        <w:ind w:left="840" w:hanging="420"/>
      </w:pPr>
      <w:rPr>
        <w:rFonts w:hint="eastAsia"/>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05552B1E"/>
    <w:multiLevelType w:val="multilevel"/>
    <w:tmpl w:val="05552B1E"/>
    <w:lvl w:ilvl="0">
      <w:start w:val="1"/>
      <w:numFmt w:val="chineseCountingThousand"/>
      <w:lvlText w:val="(%1)"/>
      <w:lvlJc w:val="left"/>
      <w:pPr>
        <w:tabs>
          <w:tab w:val="left" w:pos="425"/>
        </w:tabs>
        <w:ind w:left="425" w:hanging="425"/>
      </w:pPr>
      <w:rPr>
        <w:rFonts w:hint="eastAsia"/>
        <w:strike w:val="0"/>
      </w:rPr>
    </w:lvl>
    <w:lvl w:ilvl="1">
      <w:start w:val="1"/>
      <w:numFmt w:val="decimal"/>
      <w:lvlText w:val="%2."/>
      <w:lvlJc w:val="left"/>
      <w:pPr>
        <w:tabs>
          <w:tab w:val="left" w:pos="567"/>
        </w:tabs>
        <w:ind w:left="567" w:hanging="567"/>
      </w:pPr>
      <w:rPr>
        <w:rFonts w:hint="eastAsia"/>
        <w:b w:val="0"/>
        <w:strike w:val="0"/>
        <w:dstrike w:val="0"/>
        <w:color w:val="auto"/>
        <w:sz w:val="24"/>
        <w:szCs w:val="24"/>
      </w:rPr>
    </w:lvl>
    <w:lvl w:ilvl="2">
      <w:start w:val="1"/>
      <w:numFmt w:val="decimal"/>
      <w:lvlText w:val="（%3)"/>
      <w:lvlJc w:val="left"/>
      <w:pPr>
        <w:tabs>
          <w:tab w:val="left" w:pos="567"/>
        </w:tabs>
        <w:ind w:left="567" w:hanging="567"/>
      </w:pPr>
      <w:rPr>
        <w:rFonts w:hint="eastAsia"/>
        <w:b w:val="0"/>
        <w:sz w:val="24"/>
        <w:szCs w:val="24"/>
      </w:rPr>
    </w:lvl>
    <w:lvl w:ilvl="3">
      <w:start w:val="1"/>
      <w:numFmt w:val="decimal"/>
      <w:lvlText w:val="（%4)"/>
      <w:lvlJc w:val="left"/>
      <w:pPr>
        <w:tabs>
          <w:tab w:val="left" w:pos="851"/>
        </w:tabs>
        <w:ind w:left="851" w:hanging="851"/>
      </w:pPr>
      <w:rPr>
        <w:rFonts w:hint="eastAsia"/>
        <w:dstrike w:val="0"/>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15">
    <w:nsid w:val="067FF533"/>
    <w:multiLevelType w:val="multilevel"/>
    <w:tmpl w:val="067FF533"/>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08F1388F"/>
    <w:multiLevelType w:val="multilevel"/>
    <w:tmpl w:val="08F1388F"/>
    <w:lvl w:ilvl="0">
      <w:start w:val="1"/>
      <w:numFmt w:val="chineseCountingThousand"/>
      <w:lvlText w:val="(%1)"/>
      <w:lvlJc w:val="left"/>
      <w:pPr>
        <w:ind w:left="420" w:hanging="420"/>
      </w:pPr>
      <w:rPr>
        <w:rFonts w:asciiTheme="majorEastAsia" w:eastAsiaTheme="majorEastAsia" w:hAnsiTheme="major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093D2182"/>
    <w:multiLevelType w:val="multilevel"/>
    <w:tmpl w:val="093D2182"/>
    <w:lvl w:ilvl="0">
      <w:start w:val="1"/>
      <w:numFmt w:val="decimal"/>
      <w:lvlText w:val="%1."/>
      <w:lvlJc w:val="left"/>
      <w:pPr>
        <w:ind w:left="840" w:hanging="420"/>
      </w:pPr>
      <w:rPr>
        <w:rFonts w:hint="eastAsia"/>
        <w:strike w:val="0"/>
        <w:color w:val="000000" w:themeColor="text1"/>
        <w14:textFill>
          <w14:solidFill>
            <w14:schemeClr w14:val="tx1"/>
          </w14:solidFill>
        </w14:textFill>
      </w:rPr>
    </w:lvl>
    <w:lvl w:ilvl="1">
      <w:start w:val="9"/>
      <w:numFmt w:val="japaneseCounting"/>
      <w:lvlText w:val="（%2）"/>
      <w:lvlJc w:val="left"/>
      <w:pPr>
        <w:ind w:left="1185" w:hanging="765"/>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nsid w:val="0B480039"/>
    <w:multiLevelType w:val="multilevel"/>
    <w:tmpl w:val="0B480039"/>
    <w:lvl w:ilvl="0">
      <w:start w:val="1"/>
      <w:numFmt w:val="decimal"/>
      <w:lvlText w:val="%1."/>
      <w:lvlJc w:val="left"/>
      <w:pPr>
        <w:ind w:left="1963" w:hanging="420"/>
      </w:pPr>
    </w:lvl>
    <w:lvl w:ilvl="1">
      <w:start w:val="1"/>
      <w:numFmt w:val="lowerLetter"/>
      <w:lvlText w:val="%2)"/>
      <w:lvlJc w:val="left"/>
      <w:pPr>
        <w:ind w:left="2383" w:hanging="420"/>
      </w:pPr>
    </w:lvl>
    <w:lvl w:ilvl="2">
      <w:start w:val="1"/>
      <w:numFmt w:val="lowerRoman"/>
      <w:lvlText w:val="%3."/>
      <w:lvlJc w:val="right"/>
      <w:pPr>
        <w:ind w:left="2803" w:hanging="420"/>
      </w:pPr>
    </w:lvl>
    <w:lvl w:ilvl="3">
      <w:start w:val="1"/>
      <w:numFmt w:val="decimal"/>
      <w:lvlText w:val="%4."/>
      <w:lvlJc w:val="left"/>
      <w:pPr>
        <w:ind w:left="3223" w:hanging="420"/>
      </w:pPr>
    </w:lvl>
    <w:lvl w:ilvl="4">
      <w:start w:val="1"/>
      <w:numFmt w:val="lowerLetter"/>
      <w:lvlText w:val="%5)"/>
      <w:lvlJc w:val="left"/>
      <w:pPr>
        <w:ind w:left="3643" w:hanging="420"/>
      </w:pPr>
    </w:lvl>
    <w:lvl w:ilvl="5">
      <w:start w:val="1"/>
      <w:numFmt w:val="lowerRoman"/>
      <w:lvlText w:val="%6."/>
      <w:lvlJc w:val="right"/>
      <w:pPr>
        <w:ind w:left="4063" w:hanging="420"/>
      </w:pPr>
    </w:lvl>
    <w:lvl w:ilvl="6">
      <w:start w:val="1"/>
      <w:numFmt w:val="decimal"/>
      <w:lvlText w:val="%7."/>
      <w:lvlJc w:val="left"/>
      <w:pPr>
        <w:ind w:left="4483" w:hanging="420"/>
      </w:pPr>
    </w:lvl>
    <w:lvl w:ilvl="7">
      <w:start w:val="1"/>
      <w:numFmt w:val="lowerLetter"/>
      <w:lvlText w:val="%8)"/>
      <w:lvlJc w:val="left"/>
      <w:pPr>
        <w:ind w:left="4903" w:hanging="420"/>
      </w:pPr>
    </w:lvl>
    <w:lvl w:ilvl="8">
      <w:start w:val="1"/>
      <w:numFmt w:val="lowerRoman"/>
      <w:lvlText w:val="%9."/>
      <w:lvlJc w:val="right"/>
      <w:pPr>
        <w:ind w:left="5323" w:hanging="420"/>
      </w:pPr>
    </w:lvl>
  </w:abstractNum>
  <w:abstractNum w:abstractNumId="19">
    <w:nsid w:val="0C8E6839"/>
    <w:multiLevelType w:val="multilevel"/>
    <w:tmpl w:val="0C8E6839"/>
    <w:lvl w:ilvl="0">
      <w:start w:val="1"/>
      <w:numFmt w:val="chineseCountingThousand"/>
      <w:lvlText w:val="(%1)"/>
      <w:lvlJc w:val="left"/>
      <w:pPr>
        <w:ind w:left="360" w:hanging="360"/>
      </w:pPr>
      <w:rPr>
        <w:rFonts w:hint="eastAsia"/>
        <w:i w:val="0"/>
        <w:strike w:val="0"/>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nsid w:val="145108C7"/>
    <w:multiLevelType w:val="multilevel"/>
    <w:tmpl w:val="145108C7"/>
    <w:lvl w:ilvl="0">
      <w:start w:val="1"/>
      <w:numFmt w:val="chineseCountingThousand"/>
      <w:lvlText w:val="(%1)"/>
      <w:lvlJc w:val="left"/>
      <w:pPr>
        <w:tabs>
          <w:tab w:val="left" w:pos="425"/>
        </w:tabs>
        <w:ind w:left="425" w:hanging="425"/>
      </w:pPr>
      <w:rPr>
        <w:rFonts w:hint="eastAsia"/>
        <w:strike w:val="0"/>
      </w:rPr>
    </w:lvl>
    <w:lvl w:ilvl="1">
      <w:start w:val="1"/>
      <w:numFmt w:val="decimal"/>
      <w:lvlText w:val="%2."/>
      <w:lvlJc w:val="left"/>
      <w:pPr>
        <w:tabs>
          <w:tab w:val="left" w:pos="567"/>
        </w:tabs>
        <w:ind w:left="567" w:hanging="567"/>
      </w:pPr>
      <w:rPr>
        <w:rFonts w:hint="eastAsia"/>
        <w:b w:val="0"/>
        <w:strike w:val="0"/>
        <w:dstrike w:val="0"/>
        <w:color w:val="auto"/>
        <w:sz w:val="24"/>
        <w:szCs w:val="24"/>
      </w:rPr>
    </w:lvl>
    <w:lvl w:ilvl="2">
      <w:start w:val="1"/>
      <w:numFmt w:val="decimal"/>
      <w:lvlText w:val="（%3)"/>
      <w:lvlJc w:val="left"/>
      <w:pPr>
        <w:tabs>
          <w:tab w:val="left" w:pos="567"/>
        </w:tabs>
        <w:ind w:left="567" w:hanging="567"/>
      </w:pPr>
      <w:rPr>
        <w:rFonts w:hint="eastAsia"/>
        <w:b w:val="0"/>
        <w:sz w:val="24"/>
        <w:szCs w:val="24"/>
      </w:rPr>
    </w:lvl>
    <w:lvl w:ilvl="3">
      <w:start w:val="1"/>
      <w:numFmt w:val="decimal"/>
      <w:lvlText w:val="（%4)"/>
      <w:lvlJc w:val="left"/>
      <w:pPr>
        <w:tabs>
          <w:tab w:val="left" w:pos="851"/>
        </w:tabs>
        <w:ind w:left="851" w:hanging="851"/>
      </w:pPr>
      <w:rPr>
        <w:rFonts w:hint="eastAsia"/>
        <w:dstrike w:val="0"/>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1">
    <w:nsid w:val="157855AD"/>
    <w:multiLevelType w:val="multilevel"/>
    <w:tmpl w:val="157855AD"/>
    <w:lvl w:ilvl="0">
      <w:start w:val="1"/>
      <w:numFmt w:val="chineseCountingThousand"/>
      <w:lvlText w:val="(%1)"/>
      <w:lvlJc w:val="left"/>
      <w:pPr>
        <w:tabs>
          <w:tab w:val="left" w:pos="425"/>
        </w:tabs>
        <w:ind w:left="425" w:hanging="425"/>
      </w:pPr>
      <w:rPr>
        <w:rFonts w:hint="eastAsia"/>
        <w:strike w:val="0"/>
      </w:rPr>
    </w:lvl>
    <w:lvl w:ilvl="1">
      <w:start w:val="1"/>
      <w:numFmt w:val="decimal"/>
      <w:lvlText w:val="%2."/>
      <w:lvlJc w:val="left"/>
      <w:pPr>
        <w:tabs>
          <w:tab w:val="left" w:pos="567"/>
        </w:tabs>
        <w:ind w:left="567" w:hanging="567"/>
      </w:pPr>
      <w:rPr>
        <w:rFonts w:hint="eastAsia"/>
        <w:b w:val="0"/>
        <w:strike w:val="0"/>
        <w:dstrike w:val="0"/>
        <w:color w:val="auto"/>
        <w:sz w:val="24"/>
        <w:szCs w:val="24"/>
      </w:rPr>
    </w:lvl>
    <w:lvl w:ilvl="2">
      <w:start w:val="1"/>
      <w:numFmt w:val="decimal"/>
      <w:lvlText w:val="（%3)"/>
      <w:lvlJc w:val="left"/>
      <w:pPr>
        <w:tabs>
          <w:tab w:val="left" w:pos="567"/>
        </w:tabs>
        <w:ind w:left="567" w:hanging="567"/>
      </w:pPr>
      <w:rPr>
        <w:rFonts w:hint="eastAsia"/>
        <w:b w:val="0"/>
        <w:sz w:val="24"/>
        <w:szCs w:val="24"/>
      </w:rPr>
    </w:lvl>
    <w:lvl w:ilvl="3">
      <w:start w:val="1"/>
      <w:numFmt w:val="decimal"/>
      <w:lvlText w:val="（%4)"/>
      <w:lvlJc w:val="left"/>
      <w:pPr>
        <w:tabs>
          <w:tab w:val="left" w:pos="851"/>
        </w:tabs>
        <w:ind w:left="851" w:hanging="851"/>
      </w:pPr>
      <w:rPr>
        <w:rFonts w:hint="eastAsia"/>
        <w:dstrike w:val="0"/>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2">
    <w:nsid w:val="162DB1C2"/>
    <w:multiLevelType w:val="singleLevel"/>
    <w:tmpl w:val="162DB1C2"/>
    <w:lvl w:ilvl="0">
      <w:start w:val="1"/>
      <w:numFmt w:val="decimal"/>
      <w:lvlText w:val="%1."/>
      <w:lvlJc w:val="left"/>
      <w:pPr>
        <w:tabs>
          <w:tab w:val="left" w:pos="312"/>
        </w:tabs>
      </w:pPr>
    </w:lvl>
  </w:abstractNum>
  <w:abstractNum w:abstractNumId="23">
    <w:nsid w:val="187A48C1"/>
    <w:multiLevelType w:val="multilevel"/>
    <w:tmpl w:val="187A48C1"/>
    <w:lvl w:ilvl="0">
      <w:start w:val="1"/>
      <w:numFmt w:val="japaneseCounting"/>
      <w:lvlText w:val="%1、"/>
      <w:lvlJc w:val="left"/>
      <w:pPr>
        <w:tabs>
          <w:tab w:val="left" w:pos="420"/>
        </w:tabs>
        <w:ind w:left="420" w:hanging="420"/>
      </w:pPr>
      <w:rPr>
        <w:rFonts w:ascii="宋体" w:eastAsia="宋体" w:hAnsi="宋体" w:cs="Courier New"/>
      </w:rPr>
    </w:lvl>
    <w:lvl w:ilvl="1">
      <w:start w:val="1"/>
      <w:numFmt w:val="decimal"/>
      <w:lvlText w:val="%2、"/>
      <w:lvlJc w:val="left"/>
      <w:pPr>
        <w:tabs>
          <w:tab w:val="left" w:pos="780"/>
        </w:tabs>
        <w:ind w:left="780" w:hanging="360"/>
      </w:pPr>
      <w:rPr>
        <w:rFonts w:hint="default"/>
        <w:b w:val="0"/>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4">
    <w:nsid w:val="198F3F03"/>
    <w:multiLevelType w:val="multilevel"/>
    <w:tmpl w:val="198F3F03"/>
    <w:lvl w:ilvl="0">
      <w:start w:val="1"/>
      <w:numFmt w:val="chineseCountingThousand"/>
      <w:lvlText w:val="(%1)"/>
      <w:lvlJc w:val="left"/>
      <w:pPr>
        <w:tabs>
          <w:tab w:val="left" w:pos="425"/>
        </w:tabs>
        <w:ind w:left="425" w:hanging="425"/>
      </w:pPr>
      <w:rPr>
        <w:rFonts w:hint="eastAsia"/>
        <w:strike w:val="0"/>
      </w:rPr>
    </w:lvl>
    <w:lvl w:ilvl="1">
      <w:start w:val="1"/>
      <w:numFmt w:val="decimal"/>
      <w:lvlText w:val="%2."/>
      <w:lvlJc w:val="left"/>
      <w:pPr>
        <w:tabs>
          <w:tab w:val="left" w:pos="567"/>
        </w:tabs>
        <w:ind w:left="567" w:hanging="567"/>
      </w:pPr>
      <w:rPr>
        <w:rFonts w:hint="eastAsia"/>
        <w:b w:val="0"/>
        <w:strike w:val="0"/>
        <w:dstrike w:val="0"/>
        <w:color w:val="auto"/>
        <w:sz w:val="24"/>
        <w:szCs w:val="24"/>
      </w:rPr>
    </w:lvl>
    <w:lvl w:ilvl="2">
      <w:start w:val="1"/>
      <w:numFmt w:val="decimal"/>
      <w:lvlText w:val="（%3)"/>
      <w:lvlJc w:val="left"/>
      <w:pPr>
        <w:tabs>
          <w:tab w:val="left" w:pos="567"/>
        </w:tabs>
        <w:ind w:left="567" w:hanging="567"/>
      </w:pPr>
      <w:rPr>
        <w:rFonts w:hint="eastAsia"/>
        <w:b w:val="0"/>
        <w:sz w:val="24"/>
        <w:szCs w:val="24"/>
      </w:rPr>
    </w:lvl>
    <w:lvl w:ilvl="3">
      <w:start w:val="1"/>
      <w:numFmt w:val="decimal"/>
      <w:lvlText w:val="（%4)"/>
      <w:lvlJc w:val="left"/>
      <w:pPr>
        <w:tabs>
          <w:tab w:val="left" w:pos="851"/>
        </w:tabs>
        <w:ind w:left="851" w:hanging="851"/>
      </w:pPr>
      <w:rPr>
        <w:rFonts w:hint="eastAsia"/>
        <w:dstrike w:val="0"/>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5">
    <w:nsid w:val="1AAD7E06"/>
    <w:multiLevelType w:val="singleLevel"/>
    <w:tmpl w:val="1AAD7E06"/>
    <w:lvl w:ilvl="0">
      <w:start w:val="1"/>
      <w:numFmt w:val="decimal"/>
      <w:suff w:val="nothing"/>
      <w:lvlText w:val="%1、"/>
      <w:lvlJc w:val="left"/>
    </w:lvl>
  </w:abstractNum>
  <w:abstractNum w:abstractNumId="26">
    <w:nsid w:val="1AB30B54"/>
    <w:multiLevelType w:val="multilevel"/>
    <w:tmpl w:val="1AB30B54"/>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nsid w:val="1D1C7BA2"/>
    <w:multiLevelType w:val="multilevel"/>
    <w:tmpl w:val="1D1C7BA2"/>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nsid w:val="1D493111"/>
    <w:multiLevelType w:val="multilevel"/>
    <w:tmpl w:val="1D493111"/>
    <w:lvl w:ilvl="0">
      <w:start w:val="1"/>
      <w:numFmt w:val="decimal"/>
      <w:lvlText w:val="%1."/>
      <w:lvlJc w:val="left"/>
      <w:pPr>
        <w:ind w:left="420" w:hanging="420"/>
      </w:p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nsid w:val="1DD22B5D"/>
    <w:multiLevelType w:val="multilevel"/>
    <w:tmpl w:val="1DD22B5D"/>
    <w:lvl w:ilvl="0">
      <w:start w:val="1"/>
      <w:numFmt w:val="decimal"/>
      <w:lvlText w:val="%1)"/>
      <w:lvlJc w:val="left"/>
      <w:pPr>
        <w:ind w:left="420" w:hanging="420"/>
      </w:pPr>
      <w:rPr>
        <w:rFonts w:hint="default"/>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
    <w:nsid w:val="204A5EA8"/>
    <w:multiLevelType w:val="multilevel"/>
    <w:tmpl w:val="204A5EA8"/>
    <w:lvl w:ilvl="0">
      <w:start w:val="1"/>
      <w:numFmt w:val="decimal"/>
      <w:lvlText w:val="%1."/>
      <w:lvlJc w:val="left"/>
      <w:pPr>
        <w:ind w:left="840" w:hanging="420"/>
      </w:pPr>
      <w:rPr>
        <w:rFonts w:hint="eastAsia"/>
        <w:strike w:val="0"/>
        <w:color w:val="000000" w:themeColor="text1"/>
        <w14:textFill>
          <w14:solidFill>
            <w14:schemeClr w14:val="tx1"/>
          </w14:solidFill>
        </w14:textFill>
      </w:rPr>
    </w:lvl>
    <w:lvl w:ilvl="1">
      <w:start w:val="9"/>
      <w:numFmt w:val="japaneseCounting"/>
      <w:lvlText w:val="（%2）"/>
      <w:lvlJc w:val="left"/>
      <w:pPr>
        <w:ind w:left="1185" w:hanging="765"/>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
    <w:nsid w:val="23A63FDB"/>
    <w:multiLevelType w:val="multilevel"/>
    <w:tmpl w:val="23A63FDB"/>
    <w:lvl w:ilvl="0">
      <w:start w:val="1"/>
      <w:numFmt w:val="chineseCountingThousand"/>
      <w:lvlText w:val="(%1)"/>
      <w:lvlJc w:val="left"/>
      <w:pPr>
        <w:ind w:left="420" w:hanging="420"/>
      </w:pPr>
      <w:rPr>
        <w:rFonts w:asciiTheme="majorEastAsia" w:eastAsiaTheme="majorEastAsia" w:hAnsiTheme="major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2">
    <w:nsid w:val="23BE1E6A"/>
    <w:multiLevelType w:val="singleLevel"/>
    <w:tmpl w:val="23BE1E6A"/>
    <w:lvl w:ilvl="0">
      <w:start w:val="1"/>
      <w:numFmt w:val="decimal"/>
      <w:lvlText w:val="%1."/>
      <w:lvlJc w:val="left"/>
      <w:pPr>
        <w:ind w:left="425" w:hanging="425"/>
      </w:pPr>
      <w:rPr>
        <w:rFonts w:hint="default"/>
      </w:rPr>
    </w:lvl>
  </w:abstractNum>
  <w:abstractNum w:abstractNumId="33">
    <w:nsid w:val="23F22C62"/>
    <w:multiLevelType w:val="multilevel"/>
    <w:tmpl w:val="23F22C62"/>
    <w:lvl w:ilvl="0">
      <w:start w:val="1"/>
      <w:numFmt w:val="decimal"/>
      <w:lvlText w:val="%1."/>
      <w:lvlJc w:val="left"/>
      <w:pPr>
        <w:ind w:left="420" w:hanging="420"/>
      </w:p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4">
    <w:nsid w:val="27A7686C"/>
    <w:multiLevelType w:val="multilevel"/>
    <w:tmpl w:val="27A7686C"/>
    <w:lvl w:ilvl="0">
      <w:start w:val="1"/>
      <w:numFmt w:val="decimal"/>
      <w:lvlText w:val="%1)"/>
      <w:lvlJc w:val="left"/>
      <w:pPr>
        <w:ind w:left="420" w:hanging="420"/>
      </w:pPr>
      <w:rPr>
        <w:rFonts w:hint="default"/>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5">
    <w:nsid w:val="27F473F5"/>
    <w:multiLevelType w:val="multilevel"/>
    <w:tmpl w:val="27F473F5"/>
    <w:lvl w:ilvl="0">
      <w:start w:val="1"/>
      <w:numFmt w:val="decimal"/>
      <w:lvlText w:val="（%1）"/>
      <w:lvlJc w:val="left"/>
      <w:pPr>
        <w:ind w:left="84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6">
    <w:nsid w:val="286D0CD4"/>
    <w:multiLevelType w:val="multilevel"/>
    <w:tmpl w:val="286D0CD4"/>
    <w:lvl w:ilvl="0">
      <w:start w:val="1"/>
      <w:numFmt w:val="decimalEnclosedCircle"/>
      <w:lvlText w:val="%1"/>
      <w:lvlJc w:val="left"/>
      <w:pPr>
        <w:ind w:left="126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7">
    <w:nsid w:val="2A5E0B58"/>
    <w:multiLevelType w:val="multilevel"/>
    <w:tmpl w:val="2A5E0B58"/>
    <w:lvl w:ilvl="0">
      <w:start w:val="1"/>
      <w:numFmt w:val="chineseCountingThousand"/>
      <w:lvlText w:val="(%1)"/>
      <w:lvlJc w:val="left"/>
      <w:pPr>
        <w:tabs>
          <w:tab w:val="left" w:pos="425"/>
        </w:tabs>
        <w:ind w:left="425" w:hanging="425"/>
      </w:pPr>
      <w:rPr>
        <w:rFonts w:hint="eastAsia"/>
        <w:strike w:val="0"/>
      </w:rPr>
    </w:lvl>
    <w:lvl w:ilvl="1">
      <w:start w:val="1"/>
      <w:numFmt w:val="decimal"/>
      <w:lvlText w:val="%2."/>
      <w:lvlJc w:val="left"/>
      <w:pPr>
        <w:tabs>
          <w:tab w:val="left" w:pos="567"/>
        </w:tabs>
        <w:ind w:left="567" w:hanging="567"/>
      </w:pPr>
      <w:rPr>
        <w:rFonts w:hint="eastAsia"/>
        <w:b w:val="0"/>
        <w:strike w:val="0"/>
        <w:dstrike w:val="0"/>
        <w:sz w:val="24"/>
        <w:szCs w:val="24"/>
      </w:rPr>
    </w:lvl>
    <w:lvl w:ilvl="2">
      <w:start w:val="1"/>
      <w:numFmt w:val="decimal"/>
      <w:lvlText w:val="（%3)"/>
      <w:lvlJc w:val="left"/>
      <w:pPr>
        <w:tabs>
          <w:tab w:val="left" w:pos="567"/>
        </w:tabs>
        <w:ind w:left="567" w:hanging="567"/>
      </w:pPr>
      <w:rPr>
        <w:rFonts w:hint="eastAsia"/>
        <w:b w:val="0"/>
        <w:sz w:val="24"/>
        <w:szCs w:val="24"/>
      </w:rPr>
    </w:lvl>
    <w:lvl w:ilvl="3">
      <w:start w:val="1"/>
      <w:numFmt w:val="decimal"/>
      <w:lvlText w:val="（%4)"/>
      <w:lvlJc w:val="left"/>
      <w:pPr>
        <w:tabs>
          <w:tab w:val="left" w:pos="851"/>
        </w:tabs>
        <w:ind w:left="851" w:hanging="851"/>
      </w:pPr>
      <w:rPr>
        <w:rFonts w:hint="eastAsia"/>
        <w:dstrike w:val="0"/>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38">
    <w:nsid w:val="2CA85AD8"/>
    <w:multiLevelType w:val="multilevel"/>
    <w:tmpl w:val="2CA85AD8"/>
    <w:lvl w:ilvl="0">
      <w:start w:val="1"/>
      <w:numFmt w:val="decimal"/>
      <w:lvlText w:val="（%1）"/>
      <w:lvlJc w:val="left"/>
      <w:pPr>
        <w:ind w:left="420" w:hanging="420"/>
      </w:pPr>
      <w:rPr>
        <w:rFonts w:hint="eastAsia"/>
        <w:color w:val="auto"/>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9">
    <w:nsid w:val="2DE2F923"/>
    <w:multiLevelType w:val="multilevel"/>
    <w:tmpl w:val="2DE2F923"/>
    <w:lvl w:ilvl="0">
      <w:start w:val="1"/>
      <w:numFmt w:val="chineseCountingThousand"/>
      <w:lvlText w:val="(%1)"/>
      <w:lvlJc w:val="left"/>
      <w:pPr>
        <w:tabs>
          <w:tab w:val="left" w:pos="425"/>
        </w:tabs>
        <w:ind w:left="425" w:hanging="425"/>
      </w:pPr>
      <w:rPr>
        <w:rFonts w:hint="eastAsia"/>
        <w:strike w:val="0"/>
      </w:rPr>
    </w:lvl>
    <w:lvl w:ilvl="1">
      <w:start w:val="1"/>
      <w:numFmt w:val="decimal"/>
      <w:lvlText w:val="%2."/>
      <w:lvlJc w:val="left"/>
      <w:pPr>
        <w:tabs>
          <w:tab w:val="left" w:pos="567"/>
        </w:tabs>
        <w:ind w:left="567" w:hanging="567"/>
      </w:pPr>
      <w:rPr>
        <w:rFonts w:hint="eastAsia"/>
        <w:b w:val="0"/>
        <w:strike w:val="0"/>
        <w:dstrike w:val="0"/>
        <w:color w:val="auto"/>
        <w:sz w:val="24"/>
        <w:szCs w:val="24"/>
      </w:rPr>
    </w:lvl>
    <w:lvl w:ilvl="2">
      <w:start w:val="1"/>
      <w:numFmt w:val="decimal"/>
      <w:lvlText w:val="（%3)"/>
      <w:lvlJc w:val="left"/>
      <w:pPr>
        <w:tabs>
          <w:tab w:val="left" w:pos="567"/>
        </w:tabs>
        <w:ind w:left="567" w:hanging="567"/>
      </w:pPr>
      <w:rPr>
        <w:rFonts w:hint="eastAsia"/>
        <w:b w:val="0"/>
        <w:sz w:val="24"/>
        <w:szCs w:val="24"/>
      </w:rPr>
    </w:lvl>
    <w:lvl w:ilvl="3">
      <w:start w:val="1"/>
      <w:numFmt w:val="decimal"/>
      <w:lvlText w:val="（%4)"/>
      <w:lvlJc w:val="left"/>
      <w:pPr>
        <w:tabs>
          <w:tab w:val="left" w:pos="851"/>
        </w:tabs>
        <w:ind w:left="851" w:hanging="851"/>
      </w:pPr>
      <w:rPr>
        <w:rFonts w:hint="eastAsia"/>
        <w:dstrike w:val="0"/>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40">
    <w:nsid w:val="32BE547A"/>
    <w:multiLevelType w:val="multilevel"/>
    <w:tmpl w:val="32BE547A"/>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1">
    <w:nsid w:val="350534A8"/>
    <w:multiLevelType w:val="multilevel"/>
    <w:tmpl w:val="350534A8"/>
    <w:lvl w:ilvl="0">
      <w:start w:val="1"/>
      <w:numFmt w:val="decimal"/>
      <w:lvlText w:val="%1."/>
      <w:lvlJc w:val="left"/>
      <w:pPr>
        <w:ind w:left="840" w:hanging="420"/>
      </w:pPr>
      <w:rPr>
        <w:rFonts w:ascii="宋体" w:eastAsia="宋体" w:hAnsi="宋体" w:hint="eastAsia"/>
      </w:rPr>
    </w:lvl>
    <w:lvl w:ilvl="1">
      <w:start w:val="1"/>
      <w:numFmt w:val="decimal"/>
      <w:lvlText w:val="（%2)"/>
      <w:lvlJc w:val="left"/>
      <w:pPr>
        <w:ind w:left="420" w:hanging="420"/>
      </w:pPr>
      <w:rPr>
        <w:rFonts w:hint="eastAsia"/>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2">
    <w:nsid w:val="357500A7"/>
    <w:multiLevelType w:val="multilevel"/>
    <w:tmpl w:val="357500A7"/>
    <w:lvl w:ilvl="0">
      <w:start w:val="1"/>
      <w:numFmt w:val="decimal"/>
      <w:lvlText w:val="（%1）"/>
      <w:lvlJc w:val="left"/>
      <w:pPr>
        <w:ind w:left="840" w:hanging="420"/>
      </w:pPr>
      <w:rPr>
        <w:rFonts w:asciiTheme="minorEastAsia" w:eastAsiaTheme="minorEastAsia" w:hAnsiTheme="minorEastAsia" w:hint="default"/>
        <w:b w:val="0"/>
      </w:rPr>
    </w:lvl>
    <w:lvl w:ilvl="1">
      <w:start w:val="1"/>
      <w:numFmt w:val="decimal"/>
      <w:lvlText w:val="%2)"/>
      <w:lvlJc w:val="left"/>
      <w:pPr>
        <w:ind w:left="420" w:hanging="420"/>
      </w:pPr>
      <w:rPr>
        <w:rFonts w:hint="default"/>
        <w:color w:val="auto"/>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3">
    <w:nsid w:val="35844DFD"/>
    <w:multiLevelType w:val="multilevel"/>
    <w:tmpl w:val="35844DFD"/>
    <w:lvl w:ilvl="0">
      <w:start w:val="2"/>
      <w:numFmt w:val="decimal"/>
      <w:lvlText w:val="(%1)"/>
      <w:lvlJc w:val="left"/>
      <w:pPr>
        <w:tabs>
          <w:tab w:val="left" w:pos="1200"/>
        </w:tabs>
        <w:ind w:left="1200" w:hanging="360"/>
      </w:pPr>
      <w:rPr>
        <w:rFonts w:hint="default"/>
      </w:rPr>
    </w:lvl>
    <w:lvl w:ilvl="1">
      <w:start w:val="1"/>
      <w:numFmt w:val="decimal"/>
      <w:lvlText w:val="%2．"/>
      <w:lvlJc w:val="left"/>
      <w:pPr>
        <w:tabs>
          <w:tab w:val="left" w:pos="1620"/>
        </w:tabs>
        <w:ind w:left="1620" w:hanging="360"/>
      </w:pPr>
      <w:rPr>
        <w:rFonts w:ascii="宋体" w:eastAsia="宋体" w:hAnsi="宋体" w:hint="default"/>
      </w:rPr>
    </w:lvl>
    <w:lvl w:ilvl="2">
      <w:start w:val="1"/>
      <w:numFmt w:val="lowerRoman"/>
      <w:lvlText w:val="%3."/>
      <w:lvlJc w:val="right"/>
      <w:pPr>
        <w:tabs>
          <w:tab w:val="left" w:pos="2100"/>
        </w:tabs>
        <w:ind w:left="2100" w:hanging="420"/>
      </w:pPr>
    </w:lvl>
    <w:lvl w:ilvl="3">
      <w:start w:val="1"/>
      <w:numFmt w:val="decimal"/>
      <w:lvlText w:val="%4."/>
      <w:lvlJc w:val="left"/>
      <w:pPr>
        <w:tabs>
          <w:tab w:val="left" w:pos="2520"/>
        </w:tabs>
        <w:ind w:left="2520" w:hanging="420"/>
      </w:pPr>
    </w:lvl>
    <w:lvl w:ilvl="4">
      <w:start w:val="1"/>
      <w:numFmt w:val="lowerLetter"/>
      <w:lvlText w:val="%5)"/>
      <w:lvlJc w:val="left"/>
      <w:pPr>
        <w:tabs>
          <w:tab w:val="left" w:pos="2940"/>
        </w:tabs>
        <w:ind w:left="2940" w:hanging="420"/>
      </w:pPr>
    </w:lvl>
    <w:lvl w:ilvl="5">
      <w:start w:val="1"/>
      <w:numFmt w:val="lowerRoman"/>
      <w:lvlText w:val="%6."/>
      <w:lvlJc w:val="right"/>
      <w:pPr>
        <w:tabs>
          <w:tab w:val="left" w:pos="3360"/>
        </w:tabs>
        <w:ind w:left="3360" w:hanging="420"/>
      </w:pPr>
    </w:lvl>
    <w:lvl w:ilvl="6">
      <w:start w:val="1"/>
      <w:numFmt w:val="decimal"/>
      <w:lvlText w:val="%7."/>
      <w:lvlJc w:val="left"/>
      <w:pPr>
        <w:tabs>
          <w:tab w:val="left" w:pos="3780"/>
        </w:tabs>
        <w:ind w:left="3780" w:hanging="420"/>
      </w:pPr>
    </w:lvl>
    <w:lvl w:ilvl="7">
      <w:start w:val="1"/>
      <w:numFmt w:val="lowerLetter"/>
      <w:lvlText w:val="%8)"/>
      <w:lvlJc w:val="left"/>
      <w:pPr>
        <w:tabs>
          <w:tab w:val="left" w:pos="4200"/>
        </w:tabs>
        <w:ind w:left="4200" w:hanging="420"/>
      </w:pPr>
    </w:lvl>
    <w:lvl w:ilvl="8">
      <w:start w:val="1"/>
      <w:numFmt w:val="lowerRoman"/>
      <w:lvlText w:val="%9."/>
      <w:lvlJc w:val="right"/>
      <w:pPr>
        <w:tabs>
          <w:tab w:val="left" w:pos="4620"/>
        </w:tabs>
        <w:ind w:left="4620" w:hanging="420"/>
      </w:pPr>
    </w:lvl>
  </w:abstractNum>
  <w:abstractNum w:abstractNumId="44">
    <w:nsid w:val="36BA49F7"/>
    <w:multiLevelType w:val="multilevel"/>
    <w:tmpl w:val="36BA49F7"/>
    <w:lvl w:ilvl="0">
      <w:start w:val="1"/>
      <w:numFmt w:val="chineseCountingThousand"/>
      <w:lvlText w:val="(%1)"/>
      <w:lvlJc w:val="left"/>
      <w:pPr>
        <w:tabs>
          <w:tab w:val="left" w:pos="425"/>
        </w:tabs>
        <w:ind w:left="425" w:hanging="425"/>
      </w:pPr>
      <w:rPr>
        <w:rFonts w:hint="eastAsia"/>
        <w:strike w:val="0"/>
      </w:rPr>
    </w:lvl>
    <w:lvl w:ilvl="1">
      <w:start w:val="1"/>
      <w:numFmt w:val="decimal"/>
      <w:lvlText w:val="%2."/>
      <w:lvlJc w:val="left"/>
      <w:pPr>
        <w:tabs>
          <w:tab w:val="left" w:pos="567"/>
        </w:tabs>
        <w:ind w:left="567" w:hanging="567"/>
      </w:pPr>
      <w:rPr>
        <w:rFonts w:hint="eastAsia"/>
        <w:b w:val="0"/>
        <w:strike w:val="0"/>
        <w:dstrike w:val="0"/>
        <w:color w:val="auto"/>
        <w:sz w:val="24"/>
        <w:szCs w:val="24"/>
      </w:rPr>
    </w:lvl>
    <w:lvl w:ilvl="2">
      <w:start w:val="1"/>
      <w:numFmt w:val="decimal"/>
      <w:lvlText w:val="（%3)"/>
      <w:lvlJc w:val="left"/>
      <w:pPr>
        <w:tabs>
          <w:tab w:val="left" w:pos="567"/>
        </w:tabs>
        <w:ind w:left="567" w:hanging="567"/>
      </w:pPr>
      <w:rPr>
        <w:rFonts w:hint="eastAsia"/>
        <w:b w:val="0"/>
        <w:sz w:val="24"/>
        <w:szCs w:val="24"/>
      </w:rPr>
    </w:lvl>
    <w:lvl w:ilvl="3">
      <w:start w:val="1"/>
      <w:numFmt w:val="decimal"/>
      <w:lvlText w:val="（%4)"/>
      <w:lvlJc w:val="left"/>
      <w:pPr>
        <w:tabs>
          <w:tab w:val="left" w:pos="851"/>
        </w:tabs>
        <w:ind w:left="851" w:hanging="851"/>
      </w:pPr>
      <w:rPr>
        <w:rFonts w:hint="eastAsia"/>
        <w:dstrike w:val="0"/>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45">
    <w:nsid w:val="370A2F97"/>
    <w:multiLevelType w:val="multilevel"/>
    <w:tmpl w:val="370A2F97"/>
    <w:lvl w:ilvl="0">
      <w:start w:val="1"/>
      <w:numFmt w:val="decimal"/>
      <w:lvlText w:val="（%1）"/>
      <w:lvlJc w:val="left"/>
      <w:pPr>
        <w:ind w:left="84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6">
    <w:nsid w:val="39EA06C6"/>
    <w:multiLevelType w:val="multilevel"/>
    <w:tmpl w:val="39EA06C6"/>
    <w:lvl w:ilvl="0">
      <w:start w:val="1"/>
      <w:numFmt w:val="decimal"/>
      <w:lvlText w:val="%1."/>
      <w:lvlJc w:val="left"/>
      <w:pPr>
        <w:ind w:left="420" w:hanging="420"/>
      </w:pPr>
      <w:rPr>
        <w:rFonts w:ascii="宋体" w:eastAsia="宋体" w:hAnsi="宋体" w:hint="eastAsia"/>
        <w:b w:val="0"/>
        <w:color w:val="auto"/>
        <w:sz w:val="24"/>
        <w:szCs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7">
    <w:nsid w:val="3D28715E"/>
    <w:multiLevelType w:val="multilevel"/>
    <w:tmpl w:val="3D28715E"/>
    <w:lvl w:ilvl="0">
      <w:start w:val="1"/>
      <w:numFmt w:val="chineseCountingThousand"/>
      <w:lvlText w:val="(%1)"/>
      <w:lvlJc w:val="left"/>
      <w:pPr>
        <w:tabs>
          <w:tab w:val="left" w:pos="425"/>
        </w:tabs>
        <w:ind w:left="425" w:hanging="425"/>
      </w:pPr>
      <w:rPr>
        <w:rFonts w:hint="eastAsia"/>
        <w:strike w:val="0"/>
      </w:rPr>
    </w:lvl>
    <w:lvl w:ilvl="1">
      <w:start w:val="1"/>
      <w:numFmt w:val="decimal"/>
      <w:lvlText w:val="%2."/>
      <w:lvlJc w:val="left"/>
      <w:pPr>
        <w:tabs>
          <w:tab w:val="left" w:pos="567"/>
        </w:tabs>
        <w:ind w:left="567" w:hanging="567"/>
      </w:pPr>
      <w:rPr>
        <w:rFonts w:hint="eastAsia"/>
        <w:b w:val="0"/>
        <w:strike w:val="0"/>
        <w:dstrike w:val="0"/>
        <w:color w:val="auto"/>
        <w:sz w:val="24"/>
        <w:szCs w:val="24"/>
      </w:rPr>
    </w:lvl>
    <w:lvl w:ilvl="2">
      <w:start w:val="1"/>
      <w:numFmt w:val="decimal"/>
      <w:lvlText w:val="（%3)"/>
      <w:lvlJc w:val="left"/>
      <w:pPr>
        <w:tabs>
          <w:tab w:val="left" w:pos="567"/>
        </w:tabs>
        <w:ind w:left="567" w:hanging="567"/>
      </w:pPr>
      <w:rPr>
        <w:rFonts w:hint="eastAsia"/>
        <w:b w:val="0"/>
        <w:sz w:val="21"/>
        <w:szCs w:val="21"/>
      </w:rPr>
    </w:lvl>
    <w:lvl w:ilvl="3">
      <w:start w:val="1"/>
      <w:numFmt w:val="decimal"/>
      <w:lvlText w:val="（%4)"/>
      <w:lvlJc w:val="left"/>
      <w:pPr>
        <w:tabs>
          <w:tab w:val="left" w:pos="851"/>
        </w:tabs>
        <w:ind w:left="851" w:hanging="851"/>
      </w:pPr>
      <w:rPr>
        <w:rFonts w:hint="eastAsia"/>
        <w:dstrike w:val="0"/>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48">
    <w:nsid w:val="40843B8C"/>
    <w:multiLevelType w:val="multilevel"/>
    <w:tmpl w:val="40843B8C"/>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9">
    <w:nsid w:val="41AD49FC"/>
    <w:multiLevelType w:val="multilevel"/>
    <w:tmpl w:val="41AD49FC"/>
    <w:lvl w:ilvl="0">
      <w:start w:val="1"/>
      <w:numFmt w:val="chineseCountingThousand"/>
      <w:lvlText w:val="(%1)"/>
      <w:lvlJc w:val="left"/>
      <w:pPr>
        <w:tabs>
          <w:tab w:val="left" w:pos="425"/>
        </w:tabs>
        <w:ind w:left="425" w:hanging="425"/>
      </w:pPr>
      <w:rPr>
        <w:rFonts w:hint="eastAsia"/>
        <w:strike w:val="0"/>
      </w:rPr>
    </w:lvl>
    <w:lvl w:ilvl="1">
      <w:start w:val="1"/>
      <w:numFmt w:val="decimal"/>
      <w:lvlText w:val="%2."/>
      <w:lvlJc w:val="left"/>
      <w:pPr>
        <w:tabs>
          <w:tab w:val="left" w:pos="567"/>
        </w:tabs>
        <w:ind w:left="567" w:hanging="567"/>
      </w:pPr>
      <w:rPr>
        <w:rFonts w:hint="eastAsia"/>
        <w:b w:val="0"/>
        <w:strike w:val="0"/>
        <w:dstrike w:val="0"/>
        <w:color w:val="auto"/>
        <w:sz w:val="24"/>
        <w:szCs w:val="24"/>
      </w:rPr>
    </w:lvl>
    <w:lvl w:ilvl="2">
      <w:start w:val="1"/>
      <w:numFmt w:val="decimal"/>
      <w:lvlText w:val="（%3)"/>
      <w:lvlJc w:val="left"/>
      <w:pPr>
        <w:tabs>
          <w:tab w:val="left" w:pos="567"/>
        </w:tabs>
        <w:ind w:left="567" w:hanging="567"/>
      </w:pPr>
      <w:rPr>
        <w:rFonts w:hint="eastAsia"/>
        <w:b w:val="0"/>
        <w:sz w:val="24"/>
        <w:szCs w:val="24"/>
      </w:rPr>
    </w:lvl>
    <w:lvl w:ilvl="3">
      <w:start w:val="1"/>
      <w:numFmt w:val="decimal"/>
      <w:lvlText w:val="（%4)"/>
      <w:lvlJc w:val="left"/>
      <w:pPr>
        <w:tabs>
          <w:tab w:val="left" w:pos="851"/>
        </w:tabs>
        <w:ind w:left="851" w:hanging="851"/>
      </w:pPr>
      <w:rPr>
        <w:rFonts w:hint="eastAsia"/>
        <w:dstrike w:val="0"/>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50">
    <w:nsid w:val="47FD6A98"/>
    <w:multiLevelType w:val="multilevel"/>
    <w:tmpl w:val="47FD6A98"/>
    <w:lvl w:ilvl="0">
      <w:start w:val="1"/>
      <w:numFmt w:val="decimal"/>
      <w:lvlText w:val="%1)"/>
      <w:lvlJc w:val="left"/>
      <w:pPr>
        <w:ind w:left="420" w:hanging="420"/>
      </w:pPr>
      <w:rPr>
        <w:rFonts w:hint="default"/>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1">
    <w:nsid w:val="486A6528"/>
    <w:multiLevelType w:val="singleLevel"/>
    <w:tmpl w:val="486A6528"/>
    <w:lvl w:ilvl="0">
      <w:start w:val="1"/>
      <w:numFmt w:val="decimal"/>
      <w:lvlText w:val="%1."/>
      <w:lvlJc w:val="left"/>
      <w:pPr>
        <w:ind w:left="425" w:hanging="425"/>
      </w:pPr>
      <w:rPr>
        <w:rFonts w:hint="default"/>
      </w:rPr>
    </w:lvl>
  </w:abstractNum>
  <w:abstractNum w:abstractNumId="52">
    <w:nsid w:val="4B1120A5"/>
    <w:multiLevelType w:val="multilevel"/>
    <w:tmpl w:val="4B1120A5"/>
    <w:lvl w:ilvl="0">
      <w:start w:val="1"/>
      <w:numFmt w:val="chineseCountingThousand"/>
      <w:lvlText w:val="%1、"/>
      <w:lvlJc w:val="left"/>
      <w:pPr>
        <w:ind w:left="425" w:hanging="425"/>
      </w:pPr>
      <w:rPr>
        <w:rFonts w:hint="eastAsia"/>
        <w:b w:val="0"/>
        <w:i w:val="0"/>
        <w:color w:val="auto"/>
        <w:sz w:val="24"/>
        <w:szCs w:val="24"/>
      </w:rPr>
    </w:lvl>
    <w:lvl w:ilvl="1">
      <w:start w:val="1"/>
      <w:numFmt w:val="chineseCountingThousand"/>
      <w:lvlText w:val="(%2)"/>
      <w:lvlJc w:val="left"/>
      <w:pPr>
        <w:ind w:left="567" w:hanging="567"/>
      </w:pPr>
      <w:rPr>
        <w:rFonts w:asciiTheme="minorEastAsia" w:eastAsiaTheme="minorEastAsia" w:hAnsiTheme="minorEastAsia"/>
        <w:b w:val="0"/>
        <w:i w:val="0"/>
        <w:strike w:val="0"/>
        <w:color w:val="auto"/>
        <w:sz w:val="24"/>
        <w:szCs w:val="24"/>
      </w:rPr>
    </w:lvl>
    <w:lvl w:ilvl="2">
      <w:start w:val="1"/>
      <w:numFmt w:val="decimal"/>
      <w:lvlText w:val="%3."/>
      <w:lvlJc w:val="left"/>
      <w:pPr>
        <w:ind w:left="709" w:hanging="709"/>
      </w:pPr>
      <w:rPr>
        <w:rFonts w:asciiTheme="minorEastAsia" w:eastAsiaTheme="minorEastAsia" w:hAnsiTheme="minorEastAsia"/>
        <w:b w:val="0"/>
      </w:r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3">
    <w:nsid w:val="4B170510"/>
    <w:multiLevelType w:val="multilevel"/>
    <w:tmpl w:val="4B170510"/>
    <w:lvl w:ilvl="0">
      <w:start w:val="1"/>
      <w:numFmt w:val="decimal"/>
      <w:lvlText w:val="%1)"/>
      <w:lvlJc w:val="left"/>
      <w:pPr>
        <w:ind w:left="420" w:hanging="420"/>
      </w:pPr>
      <w:rPr>
        <w:rFonts w:ascii="宋体" w:eastAsia="宋体" w:hAnsi="宋体"/>
        <w:b/>
        <w:color w:val="00000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4">
    <w:nsid w:val="4B1939B3"/>
    <w:multiLevelType w:val="multilevel"/>
    <w:tmpl w:val="4B1939B3"/>
    <w:lvl w:ilvl="0">
      <w:start w:val="1"/>
      <w:numFmt w:val="decimal"/>
      <w:lvlText w:val="%1"/>
      <w:lvlJc w:val="center"/>
      <w:pPr>
        <w:tabs>
          <w:tab w:val="left" w:pos="142"/>
        </w:tabs>
        <w:ind w:left="142" w:firstLine="38"/>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5">
    <w:nsid w:val="4BDA1C36"/>
    <w:multiLevelType w:val="multilevel"/>
    <w:tmpl w:val="4BDA1C36"/>
    <w:lvl w:ilvl="0">
      <w:start w:val="1"/>
      <w:numFmt w:val="chineseCountingThousand"/>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6">
    <w:nsid w:val="4BDA4185"/>
    <w:multiLevelType w:val="multilevel"/>
    <w:tmpl w:val="4BDA4185"/>
    <w:lvl w:ilvl="0">
      <w:start w:val="1"/>
      <w:numFmt w:val="chineseCountingThousand"/>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7">
    <w:nsid w:val="4C644CEE"/>
    <w:multiLevelType w:val="multilevel"/>
    <w:tmpl w:val="4C644CEE"/>
    <w:lvl w:ilvl="0">
      <w:start w:val="1"/>
      <w:numFmt w:val="decimalEnclosedCircle"/>
      <w:lvlText w:val="%1"/>
      <w:lvlJc w:val="left"/>
      <w:pPr>
        <w:ind w:left="126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8">
    <w:nsid w:val="4D225C5E"/>
    <w:multiLevelType w:val="multilevel"/>
    <w:tmpl w:val="4D225C5E"/>
    <w:lvl w:ilvl="0">
      <w:start w:val="1"/>
      <w:numFmt w:val="decimal"/>
      <w:lvlText w:val="%1."/>
      <w:lvlJc w:val="left"/>
      <w:pPr>
        <w:ind w:left="420" w:hanging="420"/>
      </w:p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9">
    <w:nsid w:val="4D3B24F7"/>
    <w:multiLevelType w:val="multilevel"/>
    <w:tmpl w:val="4D3B24F7"/>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0">
    <w:nsid w:val="4F757555"/>
    <w:multiLevelType w:val="multilevel"/>
    <w:tmpl w:val="4F757555"/>
    <w:lvl w:ilvl="0">
      <w:start w:val="1"/>
      <w:numFmt w:val="chineseCountingThousand"/>
      <w:lvlText w:val="%1、"/>
      <w:lvlJc w:val="left"/>
      <w:pPr>
        <w:ind w:left="425" w:hanging="425"/>
      </w:pPr>
      <w:rPr>
        <w:rFonts w:hint="eastAsia"/>
        <w:b w:val="0"/>
        <w:i w:val="0"/>
        <w:color w:val="auto"/>
        <w:sz w:val="24"/>
        <w:szCs w:val="24"/>
      </w:rPr>
    </w:lvl>
    <w:lvl w:ilvl="1">
      <w:start w:val="1"/>
      <w:numFmt w:val="chineseCountingThousand"/>
      <w:lvlText w:val="(%2)"/>
      <w:lvlJc w:val="left"/>
      <w:pPr>
        <w:ind w:left="567" w:hanging="567"/>
      </w:pPr>
      <w:rPr>
        <w:rFonts w:asciiTheme="minorEastAsia" w:eastAsiaTheme="minorEastAsia" w:hAnsiTheme="minorEastAsia"/>
        <w:b w:val="0"/>
        <w:i w:val="0"/>
        <w:strike w:val="0"/>
        <w:color w:val="auto"/>
        <w:sz w:val="24"/>
        <w:szCs w:val="24"/>
      </w:rPr>
    </w:lvl>
    <w:lvl w:ilvl="2">
      <w:start w:val="1"/>
      <w:numFmt w:val="decimal"/>
      <w:lvlText w:val="%3."/>
      <w:lvlJc w:val="left"/>
      <w:pPr>
        <w:ind w:left="709" w:hanging="709"/>
      </w:pPr>
      <w:rPr>
        <w:rFonts w:asciiTheme="minorEastAsia" w:eastAsiaTheme="minorEastAsia" w:hAnsiTheme="minorEastAsia"/>
        <w:b w:val="0"/>
      </w:r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61">
    <w:nsid w:val="530F27FF"/>
    <w:multiLevelType w:val="multilevel"/>
    <w:tmpl w:val="530F27FF"/>
    <w:lvl w:ilvl="0">
      <w:start w:val="1"/>
      <w:numFmt w:val="chineseCountingThousand"/>
      <w:lvlText w:val="(%1)"/>
      <w:lvlJc w:val="left"/>
      <w:pPr>
        <w:tabs>
          <w:tab w:val="left" w:pos="425"/>
        </w:tabs>
        <w:ind w:left="425" w:hanging="425"/>
      </w:pPr>
      <w:rPr>
        <w:rFonts w:hint="eastAsia"/>
        <w:strike w:val="0"/>
      </w:rPr>
    </w:lvl>
    <w:lvl w:ilvl="1">
      <w:start w:val="1"/>
      <w:numFmt w:val="decimal"/>
      <w:lvlText w:val="%2."/>
      <w:lvlJc w:val="left"/>
      <w:pPr>
        <w:tabs>
          <w:tab w:val="left" w:pos="567"/>
        </w:tabs>
        <w:ind w:left="567" w:hanging="567"/>
      </w:pPr>
      <w:rPr>
        <w:rFonts w:hint="eastAsia"/>
        <w:b w:val="0"/>
        <w:strike w:val="0"/>
        <w:dstrike w:val="0"/>
        <w:sz w:val="24"/>
        <w:szCs w:val="24"/>
      </w:rPr>
    </w:lvl>
    <w:lvl w:ilvl="2">
      <w:start w:val="1"/>
      <w:numFmt w:val="decimal"/>
      <w:lvlText w:val="（%3)"/>
      <w:lvlJc w:val="left"/>
      <w:pPr>
        <w:tabs>
          <w:tab w:val="left" w:pos="567"/>
        </w:tabs>
        <w:ind w:left="567" w:hanging="567"/>
      </w:pPr>
      <w:rPr>
        <w:rFonts w:hint="eastAsia"/>
        <w:b w:val="0"/>
        <w:sz w:val="24"/>
        <w:szCs w:val="24"/>
      </w:rPr>
    </w:lvl>
    <w:lvl w:ilvl="3">
      <w:start w:val="1"/>
      <w:numFmt w:val="decimal"/>
      <w:lvlText w:val="（%4)"/>
      <w:lvlJc w:val="left"/>
      <w:pPr>
        <w:tabs>
          <w:tab w:val="left" w:pos="851"/>
        </w:tabs>
        <w:ind w:left="851" w:hanging="851"/>
      </w:pPr>
      <w:rPr>
        <w:rFonts w:hint="eastAsia"/>
        <w:dstrike w:val="0"/>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62">
    <w:nsid w:val="53DF6434"/>
    <w:multiLevelType w:val="multilevel"/>
    <w:tmpl w:val="53DF6434"/>
    <w:lvl w:ilvl="0">
      <w:start w:val="1"/>
      <w:numFmt w:val="decimal"/>
      <w:lvlText w:val="%1"/>
      <w:lvlJc w:val="center"/>
      <w:pPr>
        <w:tabs>
          <w:tab w:val="left" w:pos="142"/>
        </w:tabs>
        <w:ind w:left="142" w:firstLine="38"/>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3">
    <w:nsid w:val="541E5A4E"/>
    <w:multiLevelType w:val="multilevel"/>
    <w:tmpl w:val="541E5A4E"/>
    <w:lvl w:ilvl="0">
      <w:start w:val="1"/>
      <w:numFmt w:val="chineseCountingThousand"/>
      <w:lvlText w:val="第%1节 "/>
      <w:lvlJc w:val="left"/>
      <w:pPr>
        <w:ind w:left="420" w:hanging="420"/>
      </w:pPr>
      <w:rPr>
        <w:rFonts w:hint="eastAsia"/>
        <w:b/>
        <w:bCs/>
        <w:color w:val="000000" w:themeColor="text1"/>
        <w14:textFill>
          <w14:solidFill>
            <w14:schemeClr w14:val="tx1"/>
          </w14:solidFill>
        </w14:textFill>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4">
    <w:nsid w:val="55C77B3D"/>
    <w:multiLevelType w:val="multilevel"/>
    <w:tmpl w:val="55C77B3D"/>
    <w:lvl w:ilvl="0">
      <w:start w:val="1"/>
      <w:numFmt w:val="decimal"/>
      <w:lvlText w:val="（%1）"/>
      <w:lvlJc w:val="left"/>
      <w:pPr>
        <w:ind w:left="840" w:hanging="420"/>
      </w:pPr>
      <w:rPr>
        <w:rFonts w:hint="default"/>
      </w:rPr>
    </w:lvl>
    <w:lvl w:ilvl="1">
      <w:start w:val="1"/>
      <w:numFmt w:val="decimal"/>
      <w:lvlText w:val="%2)"/>
      <w:lvlJc w:val="left"/>
      <w:pPr>
        <w:ind w:left="420" w:hanging="420"/>
      </w:pPr>
      <w:rPr>
        <w:rFonts w:hint="default"/>
        <w:color w:val="auto"/>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5">
    <w:nsid w:val="56DD1BD8"/>
    <w:multiLevelType w:val="multilevel"/>
    <w:tmpl w:val="56DD1BD8"/>
    <w:lvl w:ilvl="0">
      <w:start w:val="1"/>
      <w:numFmt w:val="decimal"/>
      <w:lvlText w:val="%1."/>
      <w:lvlJc w:val="left"/>
      <w:pPr>
        <w:ind w:left="420" w:hanging="420"/>
      </w:p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6">
    <w:nsid w:val="598458E2"/>
    <w:multiLevelType w:val="multilevel"/>
    <w:tmpl w:val="598458E2"/>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7">
    <w:nsid w:val="5B7C640F"/>
    <w:multiLevelType w:val="multilevel"/>
    <w:tmpl w:val="5B7C640F"/>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988"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68">
    <w:nsid w:val="5BEC3A51"/>
    <w:multiLevelType w:val="multilevel"/>
    <w:tmpl w:val="5BEC3A51"/>
    <w:lvl w:ilvl="0">
      <w:start w:val="1"/>
      <w:numFmt w:val="decimal"/>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9">
    <w:nsid w:val="5F9C2D90"/>
    <w:multiLevelType w:val="multilevel"/>
    <w:tmpl w:val="5F9C2D90"/>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0">
    <w:nsid w:val="600914E3"/>
    <w:multiLevelType w:val="multilevel"/>
    <w:tmpl w:val="600914E3"/>
    <w:lvl w:ilvl="0">
      <w:start w:val="1"/>
      <w:numFmt w:val="japaneseCounting"/>
      <w:lvlText w:val="%1、"/>
      <w:lvlJc w:val="left"/>
      <w:pPr>
        <w:ind w:left="5399" w:hanging="720"/>
      </w:pPr>
      <w:rPr>
        <w:rFonts w:hint="default"/>
        <w:strike w:val="0"/>
        <w:sz w:val="28"/>
        <w:szCs w:val="28"/>
        <w:lang w:val="en-US"/>
      </w:rPr>
    </w:lvl>
    <w:lvl w:ilvl="1">
      <w:start w:val="1"/>
      <w:numFmt w:val="decimal"/>
      <w:lvlText w:val="%2."/>
      <w:lvlJc w:val="left"/>
      <w:pPr>
        <w:ind w:left="3534" w:hanging="420"/>
      </w:pPr>
      <w:rPr>
        <w:rFonts w:hint="eastAsia"/>
      </w:rPr>
    </w:lvl>
    <w:lvl w:ilvl="2">
      <w:start w:val="1"/>
      <w:numFmt w:val="decimal"/>
      <w:lvlText w:val="（%3)"/>
      <w:lvlJc w:val="left"/>
      <w:pPr>
        <w:ind w:left="3954" w:hanging="420"/>
      </w:pPr>
      <w:rPr>
        <w:rFonts w:hint="eastAsia"/>
      </w:rPr>
    </w:lvl>
    <w:lvl w:ilvl="3">
      <w:start w:val="1"/>
      <w:numFmt w:val="decimal"/>
      <w:lvlText w:val="%4)"/>
      <w:lvlJc w:val="left"/>
      <w:pPr>
        <w:ind w:left="4374" w:hanging="420"/>
      </w:pPr>
    </w:lvl>
    <w:lvl w:ilvl="4">
      <w:start w:val="1"/>
      <w:numFmt w:val="lowerLetter"/>
      <w:lvlText w:val="%5)"/>
      <w:lvlJc w:val="left"/>
      <w:pPr>
        <w:ind w:left="4794" w:hanging="420"/>
      </w:pPr>
    </w:lvl>
    <w:lvl w:ilvl="5">
      <w:start w:val="1"/>
      <w:numFmt w:val="lowerRoman"/>
      <w:lvlText w:val="%6."/>
      <w:lvlJc w:val="right"/>
      <w:pPr>
        <w:ind w:left="5214" w:hanging="420"/>
      </w:pPr>
    </w:lvl>
    <w:lvl w:ilvl="6">
      <w:start w:val="1"/>
      <w:numFmt w:val="decimal"/>
      <w:lvlText w:val="%7."/>
      <w:lvlJc w:val="left"/>
      <w:pPr>
        <w:ind w:left="5634" w:hanging="420"/>
      </w:pPr>
    </w:lvl>
    <w:lvl w:ilvl="7">
      <w:start w:val="1"/>
      <w:numFmt w:val="lowerLetter"/>
      <w:lvlText w:val="%8)"/>
      <w:lvlJc w:val="left"/>
      <w:pPr>
        <w:ind w:left="6054" w:hanging="420"/>
      </w:pPr>
    </w:lvl>
    <w:lvl w:ilvl="8">
      <w:start w:val="1"/>
      <w:numFmt w:val="lowerRoman"/>
      <w:lvlText w:val="%9."/>
      <w:lvlJc w:val="right"/>
      <w:pPr>
        <w:ind w:left="6474" w:hanging="420"/>
      </w:pPr>
    </w:lvl>
  </w:abstractNum>
  <w:abstractNum w:abstractNumId="71">
    <w:nsid w:val="64F290BD"/>
    <w:multiLevelType w:val="singleLevel"/>
    <w:tmpl w:val="64F290BD"/>
    <w:lvl w:ilvl="0">
      <w:start w:val="1"/>
      <w:numFmt w:val="decimal"/>
      <w:lvlText w:val="%1."/>
      <w:lvlJc w:val="left"/>
      <w:pPr>
        <w:ind w:left="425" w:hanging="425"/>
      </w:pPr>
      <w:rPr>
        <w:rFonts w:hint="default"/>
      </w:rPr>
    </w:lvl>
  </w:abstractNum>
  <w:abstractNum w:abstractNumId="72">
    <w:nsid w:val="67BC6897"/>
    <w:multiLevelType w:val="multilevel"/>
    <w:tmpl w:val="67BC6897"/>
    <w:lvl w:ilvl="0">
      <w:start w:val="1"/>
      <w:numFmt w:val="chineseCountingThousand"/>
      <w:lvlText w:val="%1、"/>
      <w:lvlJc w:val="left"/>
      <w:pPr>
        <w:tabs>
          <w:tab w:val="left" w:pos="420"/>
        </w:tabs>
        <w:ind w:left="420" w:hanging="420"/>
      </w:pPr>
      <w:rPr>
        <w:b/>
      </w:rPr>
    </w:lvl>
    <w:lvl w:ilvl="1">
      <w:start w:val="1"/>
      <w:numFmt w:val="lowerLetter"/>
      <w:lvlText w:val="%2)"/>
      <w:lvlJc w:val="left"/>
      <w:pPr>
        <w:tabs>
          <w:tab w:val="left" w:pos="420"/>
        </w:tabs>
        <w:ind w:left="420" w:hanging="420"/>
      </w:pPr>
    </w:lvl>
    <w:lvl w:ilvl="2">
      <w:start w:val="1"/>
      <w:numFmt w:val="lowerRoman"/>
      <w:lvlText w:val="%3."/>
      <w:lvlJc w:val="right"/>
      <w:pPr>
        <w:tabs>
          <w:tab w:val="left" w:pos="840"/>
        </w:tabs>
        <w:ind w:left="840" w:hanging="420"/>
      </w:pPr>
    </w:lvl>
    <w:lvl w:ilvl="3">
      <w:start w:val="1"/>
      <w:numFmt w:val="decimal"/>
      <w:lvlText w:val="%4."/>
      <w:lvlJc w:val="left"/>
      <w:pPr>
        <w:tabs>
          <w:tab w:val="left" w:pos="1260"/>
        </w:tabs>
        <w:ind w:left="1260" w:hanging="420"/>
      </w:pPr>
    </w:lvl>
    <w:lvl w:ilvl="4">
      <w:start w:val="1"/>
      <w:numFmt w:val="lowerLetter"/>
      <w:lvlText w:val="%5)"/>
      <w:lvlJc w:val="left"/>
      <w:pPr>
        <w:tabs>
          <w:tab w:val="left" w:pos="1680"/>
        </w:tabs>
        <w:ind w:left="1680" w:hanging="420"/>
      </w:pPr>
    </w:lvl>
    <w:lvl w:ilvl="5">
      <w:start w:val="1"/>
      <w:numFmt w:val="lowerRoman"/>
      <w:lvlText w:val="%6."/>
      <w:lvlJc w:val="right"/>
      <w:pPr>
        <w:tabs>
          <w:tab w:val="left" w:pos="2100"/>
        </w:tabs>
        <w:ind w:left="2100" w:hanging="420"/>
      </w:pPr>
    </w:lvl>
    <w:lvl w:ilvl="6">
      <w:start w:val="1"/>
      <w:numFmt w:val="decimal"/>
      <w:lvlText w:val="%7."/>
      <w:lvlJc w:val="left"/>
      <w:pPr>
        <w:tabs>
          <w:tab w:val="left" w:pos="2520"/>
        </w:tabs>
        <w:ind w:left="2520" w:hanging="420"/>
      </w:pPr>
    </w:lvl>
    <w:lvl w:ilvl="7">
      <w:start w:val="1"/>
      <w:numFmt w:val="lowerLetter"/>
      <w:lvlText w:val="%8)"/>
      <w:lvlJc w:val="left"/>
      <w:pPr>
        <w:tabs>
          <w:tab w:val="left" w:pos="2940"/>
        </w:tabs>
        <w:ind w:left="2940" w:hanging="420"/>
      </w:pPr>
    </w:lvl>
    <w:lvl w:ilvl="8">
      <w:start w:val="1"/>
      <w:numFmt w:val="lowerRoman"/>
      <w:lvlText w:val="%9."/>
      <w:lvlJc w:val="right"/>
      <w:pPr>
        <w:tabs>
          <w:tab w:val="left" w:pos="3360"/>
        </w:tabs>
        <w:ind w:left="3360" w:hanging="420"/>
      </w:pPr>
    </w:lvl>
  </w:abstractNum>
  <w:abstractNum w:abstractNumId="73">
    <w:nsid w:val="6A285912"/>
    <w:multiLevelType w:val="multilevel"/>
    <w:tmpl w:val="6A285912"/>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4">
    <w:nsid w:val="6B2671B2"/>
    <w:multiLevelType w:val="multilevel"/>
    <w:tmpl w:val="6B2671B2"/>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5">
    <w:nsid w:val="6B79D4E8"/>
    <w:multiLevelType w:val="multilevel"/>
    <w:tmpl w:val="6B79D4E8"/>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6">
    <w:nsid w:val="783550B3"/>
    <w:multiLevelType w:val="multilevel"/>
    <w:tmpl w:val="783550B3"/>
    <w:lvl w:ilvl="0">
      <w:start w:val="1"/>
      <w:numFmt w:val="chineseCountingThousand"/>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7">
    <w:nsid w:val="78715BB6"/>
    <w:multiLevelType w:val="multilevel"/>
    <w:tmpl w:val="78715BB6"/>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8">
    <w:nsid w:val="78D54744"/>
    <w:multiLevelType w:val="multilevel"/>
    <w:tmpl w:val="78D54744"/>
    <w:lvl w:ilvl="0">
      <w:start w:val="1"/>
      <w:numFmt w:val="decimal"/>
      <w:lvlText w:val="%1."/>
      <w:lvlJc w:val="left"/>
      <w:pPr>
        <w:tabs>
          <w:tab w:val="left" w:pos="780"/>
        </w:tabs>
        <w:ind w:left="780" w:hanging="36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9">
    <w:nsid w:val="7A76442A"/>
    <w:multiLevelType w:val="multilevel"/>
    <w:tmpl w:val="7A76442A"/>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0">
    <w:nsid w:val="7C2D25F0"/>
    <w:multiLevelType w:val="multilevel"/>
    <w:tmpl w:val="7C2D25F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12"/>
  </w:num>
  <w:num w:numId="4">
    <w:abstractNumId w:val="3"/>
  </w:num>
  <w:num w:numId="5">
    <w:abstractNumId w:val="10"/>
  </w:num>
  <w:num w:numId="6">
    <w:abstractNumId w:val="51"/>
  </w:num>
  <w:num w:numId="7">
    <w:abstractNumId w:val="71"/>
  </w:num>
  <w:num w:numId="8">
    <w:abstractNumId w:val="4"/>
  </w:num>
  <w:num w:numId="9">
    <w:abstractNumId w:val="8"/>
  </w:num>
  <w:num w:numId="10">
    <w:abstractNumId w:val="32"/>
  </w:num>
  <w:num w:numId="11">
    <w:abstractNumId w:val="66"/>
  </w:num>
  <w:num w:numId="12">
    <w:abstractNumId w:val="19"/>
  </w:num>
  <w:num w:numId="13">
    <w:abstractNumId w:val="77"/>
  </w:num>
  <w:num w:numId="14">
    <w:abstractNumId w:val="68"/>
  </w:num>
  <w:num w:numId="15">
    <w:abstractNumId w:val="55"/>
  </w:num>
  <w:num w:numId="16">
    <w:abstractNumId w:val="80"/>
  </w:num>
  <w:num w:numId="17">
    <w:abstractNumId w:val="15"/>
  </w:num>
  <w:num w:numId="18">
    <w:abstractNumId w:val="75"/>
  </w:num>
  <w:num w:numId="19">
    <w:abstractNumId w:val="63"/>
  </w:num>
  <w:num w:numId="20">
    <w:abstractNumId w:val="5"/>
  </w:num>
  <w:num w:numId="21">
    <w:abstractNumId w:val="7"/>
  </w:num>
  <w:num w:numId="22">
    <w:abstractNumId w:val="9"/>
  </w:num>
  <w:num w:numId="23">
    <w:abstractNumId w:val="52"/>
  </w:num>
  <w:num w:numId="24">
    <w:abstractNumId w:val="27"/>
  </w:num>
  <w:num w:numId="25">
    <w:abstractNumId w:val="60"/>
  </w:num>
  <w:num w:numId="26">
    <w:abstractNumId w:val="18"/>
  </w:num>
  <w:num w:numId="27">
    <w:abstractNumId w:val="56"/>
  </w:num>
  <w:num w:numId="28">
    <w:abstractNumId w:val="28"/>
  </w:num>
  <w:num w:numId="29">
    <w:abstractNumId w:val="65"/>
  </w:num>
  <w:num w:numId="30">
    <w:abstractNumId w:val="33"/>
  </w:num>
  <w:num w:numId="31">
    <w:abstractNumId w:val="58"/>
  </w:num>
  <w:num w:numId="32">
    <w:abstractNumId w:val="38"/>
  </w:num>
  <w:num w:numId="33">
    <w:abstractNumId w:val="70"/>
  </w:num>
  <w:num w:numId="34">
    <w:abstractNumId w:val="47"/>
  </w:num>
  <w:num w:numId="35">
    <w:abstractNumId w:val="44"/>
  </w:num>
  <w:num w:numId="36">
    <w:abstractNumId w:val="24"/>
  </w:num>
  <w:num w:numId="37">
    <w:abstractNumId w:val="49"/>
  </w:num>
  <w:num w:numId="38">
    <w:abstractNumId w:val="2"/>
  </w:num>
  <w:num w:numId="39">
    <w:abstractNumId w:val="39"/>
  </w:num>
  <w:num w:numId="40">
    <w:abstractNumId w:val="6"/>
  </w:num>
  <w:num w:numId="41">
    <w:abstractNumId w:val="1"/>
  </w:num>
  <w:num w:numId="42">
    <w:abstractNumId w:val="0"/>
  </w:num>
  <w:num w:numId="43">
    <w:abstractNumId w:val="20"/>
  </w:num>
  <w:num w:numId="44">
    <w:abstractNumId w:val="14"/>
  </w:num>
  <w:num w:numId="45">
    <w:abstractNumId w:val="45"/>
  </w:num>
  <w:num w:numId="46">
    <w:abstractNumId w:val="21"/>
  </w:num>
  <w:num w:numId="47">
    <w:abstractNumId w:val="61"/>
  </w:num>
  <w:num w:numId="48">
    <w:abstractNumId w:val="41"/>
  </w:num>
  <w:num w:numId="49">
    <w:abstractNumId w:val="35"/>
  </w:num>
  <w:num w:numId="50">
    <w:abstractNumId w:val="64"/>
  </w:num>
  <w:num w:numId="51">
    <w:abstractNumId w:val="50"/>
  </w:num>
  <w:num w:numId="52">
    <w:abstractNumId w:val="42"/>
  </w:num>
  <w:num w:numId="53">
    <w:abstractNumId w:val="34"/>
  </w:num>
  <w:num w:numId="54">
    <w:abstractNumId w:val="36"/>
  </w:num>
  <w:num w:numId="55">
    <w:abstractNumId w:val="57"/>
  </w:num>
  <w:num w:numId="56">
    <w:abstractNumId w:val="13"/>
  </w:num>
  <w:num w:numId="57">
    <w:abstractNumId w:val="17"/>
  </w:num>
  <w:num w:numId="58">
    <w:abstractNumId w:val="30"/>
  </w:num>
  <w:num w:numId="59">
    <w:abstractNumId w:val="46"/>
  </w:num>
  <w:num w:numId="60">
    <w:abstractNumId w:val="37"/>
  </w:num>
  <w:num w:numId="61">
    <w:abstractNumId w:val="48"/>
  </w:num>
  <w:num w:numId="62">
    <w:abstractNumId w:val="29"/>
  </w:num>
  <w:num w:numId="63">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9"/>
  </w:num>
  <w:num w:numId="65">
    <w:abstractNumId w:val="40"/>
  </w:num>
  <w:num w:numId="66">
    <w:abstractNumId w:val="74"/>
  </w:num>
  <w:num w:numId="67">
    <w:abstractNumId w:val="16"/>
  </w:num>
  <w:num w:numId="68">
    <w:abstractNumId w:val="31"/>
  </w:num>
  <w:num w:numId="69">
    <w:abstractNumId w:val="79"/>
  </w:num>
  <w:num w:numId="70">
    <w:abstractNumId w:val="73"/>
  </w:num>
  <w:num w:numId="71">
    <w:abstractNumId w:val="26"/>
  </w:num>
  <w:num w:numId="72">
    <w:abstractNumId w:val="76"/>
  </w:num>
  <w:num w:numId="73">
    <w:abstractNumId w:val="43"/>
  </w:num>
  <w:num w:numId="74">
    <w:abstractNumId w:val="22"/>
  </w:num>
  <w:num w:numId="75">
    <w:abstractNumId w:val="78"/>
  </w:num>
  <w:num w:numId="76">
    <w:abstractNumId w:val="67"/>
  </w:num>
  <w:num w:numId="77">
    <w:abstractNumId w:val="59"/>
  </w:num>
  <w:num w:numId="78">
    <w:abstractNumId w:val="53"/>
  </w:num>
  <w:num w:numId="79">
    <w:abstractNumId w:val="54"/>
  </w:num>
  <w:num w:numId="80">
    <w:abstractNumId w:val="62"/>
  </w:num>
  <w:num w:numId="8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embedSystemFonts/>
  <w:trackRevisions/>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RlNzAwNGZjOWQ4ZDg4MjQ4ZmM1MDZiNjM3NjUzNDEifQ=="/>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rPr>
    </w:rPrDefault>
    <w:pPrDefault/>
  </w:docDefaults>
  <w:latentStyles w:defLockedState="0" w:defUIPriority="99" w:defSemiHidden="1" w:defUnhideWhenUsed="1" w:defQFormat="0" w:count="260">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qFormat="1"/>
    <w:lsdException w:name="footnote text" w:semiHidden="0" w:uiPriority="0" w:unhideWhenUsed="0"/>
    <w:lsdException w:name="annotation text" w:semiHidden="0" w:unhideWhenUsed="0" w:qFormat="1"/>
    <w:lsdException w:name="header" w:semiHidden="0" w:uiPriority="0" w:qFormat="1"/>
    <w:lsdException w:name="footer" w:semiHidden="0" w:uiPriority="0" w:qFormat="1"/>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qFormat="1"/>
    <w:lsdException w:name="line number" w:semiHidden="0" w:uiPriority="0" w:unhideWhenUsed="0"/>
    <w:lsdException w:name="page number" w:semiHidden="0" w:uiPriority="0" w:unhideWhenUsed="0" w:qFormat="1"/>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uiPriority="0" w:unhideWhenUsed="0" w:qFormat="1"/>
    <w:lsdException w:name="Body Text" w:semiHidden="0" w:uiPriority="0" w:unhideWhenUsed="0" w:qFormat="1"/>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nhideWhenUsed="0" w:qFormat="1"/>
    <w:lsdException w:name="FollowedHyperlink" w:semiHidden="0" w:uiPriority="0" w:unhideWhenUsed="0"/>
    <w:lsdException w:name="Strong" w:semiHidden="0" w:uiPriority="22" w:unhideWhenUsed="0" w:qFormat="1"/>
    <w:lsdException w:name="Emphasis" w:semiHidden="0" w:uiPriority="0" w:unhideWhenUsed="0" w:qFormat="1"/>
    <w:lsdException w:name="Document Map" w:semiHidden="0" w:uiPriority="0" w:unhideWhenUsed="0"/>
    <w:lsdException w:name="Plain Text" w:semiHidden="0" w:uiPriority="0" w:unhideWhenUsed="0" w:qFormat="1"/>
    <w:lsdException w:name="E-mail Signature" w:semiHidden="0" w:uiPriority="0" w:unhideWhenUsed="0"/>
    <w:lsdException w:name="Normal (Web)" w:semiHidden="0" w:unhideWhenUsed="0" w:qFormat="1"/>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uiPriority="0" w:unhideWhenUsed="0" w:qFormat="1"/>
    <w:lsdException w:name="annotation subject"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qFormat="1"/>
    <w:lsdException w:name="Table Theme"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next w:val="a"/>
    <w:qFormat/>
    <w:pPr>
      <w:widowControl w:val="0"/>
      <w:jc w:val="both"/>
    </w:pPr>
    <w:rPr>
      <w:rFonts w:ascii="Times New Roman" w:eastAsia="宋体" w:hAnsi="Times New Roman" w:cs="Times New Roman"/>
      <w:kern w:val="2"/>
      <w:sz w:val="21"/>
      <w:szCs w:val="24"/>
      <w:lang w:val="en-US" w:eastAsia="zh-CN" w:bidi="ar-SA"/>
    </w:rPr>
  </w:style>
  <w:style w:type="paragraph" w:styleId="Heading2">
    <w:name w:val="heading 2"/>
    <w:basedOn w:val="Normal"/>
    <w:next w:val="Normal"/>
    <w:qFormat/>
    <w:pPr>
      <w:keepNext/>
      <w:keepLines/>
      <w:spacing w:before="260" w:after="260" w:line="416" w:lineRule="auto"/>
      <w:outlineLvl w:val="1"/>
    </w:pPr>
    <w:rPr>
      <w:rFonts w:ascii="Arial" w:eastAsia="黑体" w:hAnsi="Arial"/>
      <w:b/>
      <w:bCs/>
      <w:sz w:val="32"/>
      <w:szCs w:val="32"/>
    </w:rPr>
  </w:style>
  <w:style w:type="character" w:default="1" w:styleId="DefaultParagraphFont">
    <w:name w:val="Default Paragraph Font"/>
    <w:semiHidden/>
    <w:qFormat/>
  </w:style>
  <w:style w:type="table" w:default="1" w:styleId="TableNormal">
    <w:name w:val="Normal Table"/>
    <w:semiHidden/>
    <w:qFormat/>
    <w:tblPr>
      <w:tblCellMar>
        <w:top w:w="0" w:type="dxa"/>
        <w:left w:w="108" w:type="dxa"/>
        <w:bottom w:w="0" w:type="dxa"/>
        <w:right w:w="108" w:type="dxa"/>
      </w:tblCellMar>
    </w:tblPr>
  </w:style>
  <w:style w:type="paragraph" w:customStyle="1" w:styleId="a">
    <w:name w:val="正文正"/>
    <w:basedOn w:val="Normal"/>
    <w:qFormat/>
    <w:pPr>
      <w:spacing w:line="560" w:lineRule="exact"/>
      <w:ind w:firstLine="561"/>
    </w:pPr>
    <w:rPr>
      <w:rFonts w:ascii="Calibri" w:hAnsi="Calibri"/>
      <w:sz w:val="28"/>
      <w:szCs w:val="28"/>
    </w:rPr>
  </w:style>
  <w:style w:type="paragraph" w:styleId="NormalIndent">
    <w:name w:val="Normal Indent"/>
    <w:basedOn w:val="Normal"/>
    <w:next w:val="BodyText"/>
    <w:qFormat/>
    <w:pPr>
      <w:ind w:firstLine="420" w:firstLineChars="200"/>
    </w:pPr>
    <w:rPr>
      <w:szCs w:val="21"/>
    </w:rPr>
  </w:style>
  <w:style w:type="paragraph" w:styleId="BodyText">
    <w:name w:val="Body Text"/>
    <w:basedOn w:val="Normal"/>
    <w:next w:val="Title"/>
    <w:qFormat/>
    <w:pPr>
      <w:spacing w:after="120"/>
    </w:pPr>
  </w:style>
  <w:style w:type="paragraph" w:styleId="Title">
    <w:name w:val="Title"/>
    <w:basedOn w:val="Normal"/>
    <w:next w:val="Normal"/>
    <w:qFormat/>
    <w:pPr>
      <w:spacing w:before="240" w:after="60"/>
      <w:jc w:val="center"/>
      <w:outlineLvl w:val="0"/>
    </w:pPr>
    <w:rPr>
      <w:rFonts w:ascii="Cambria" w:hAnsi="Cambria"/>
      <w:b/>
      <w:bCs/>
      <w:sz w:val="32"/>
      <w:szCs w:val="32"/>
    </w:rPr>
  </w:style>
  <w:style w:type="paragraph" w:styleId="CommentText">
    <w:name w:val="annotation text"/>
    <w:basedOn w:val="Normal"/>
    <w:uiPriority w:val="99"/>
    <w:qFormat/>
    <w:pPr>
      <w:jc w:val="left"/>
    </w:pPr>
    <w:rPr>
      <w:rFonts w:asciiTheme="minorHAnsi" w:eastAsiaTheme="minorEastAsia" w:hAnsiTheme="minorHAnsi" w:cstheme="minorBidi"/>
    </w:rPr>
  </w:style>
  <w:style w:type="paragraph" w:styleId="TOC3">
    <w:name w:val="toc 3"/>
    <w:basedOn w:val="Normal"/>
    <w:next w:val="Normal"/>
    <w:uiPriority w:val="39"/>
    <w:qFormat/>
    <w:pPr>
      <w:spacing w:before="120" w:after="120"/>
      <w:ind w:left="420"/>
      <w:jc w:val="left"/>
    </w:pPr>
    <w:rPr>
      <w:rFonts w:ascii="Calibri" w:hAnsi="Calibri" w:cs="Calibri"/>
      <w:iCs/>
      <w:szCs w:val="20"/>
    </w:rPr>
  </w:style>
  <w:style w:type="paragraph" w:styleId="PlainText">
    <w:name w:val="Plain Text"/>
    <w:basedOn w:val="Normal"/>
    <w:qFormat/>
    <w:rPr>
      <w:rFonts w:ascii="宋体" w:hAnsi="Courier New" w:eastAsiaTheme="minorEastAsia" w:cs="Courier New"/>
      <w:szCs w:val="21"/>
    </w:rPr>
  </w:style>
  <w:style w:type="paragraph" w:styleId="Footer">
    <w:name w:val="footer"/>
    <w:basedOn w:val="Normal"/>
    <w:unhideWhenUsed/>
    <w:qFormat/>
    <w:pPr>
      <w:tabs>
        <w:tab w:val="center" w:pos="4153"/>
        <w:tab w:val="right" w:pos="8306"/>
      </w:tabs>
      <w:snapToGrid w:val="0"/>
      <w:jc w:val="left"/>
    </w:pPr>
    <w:rPr>
      <w:sz w:val="18"/>
      <w:szCs w:val="18"/>
    </w:rPr>
  </w:style>
  <w:style w:type="paragraph" w:styleId="Header">
    <w:name w:val="header"/>
    <w:basedOn w:val="Normal"/>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Normal"/>
    <w:next w:val="Normal"/>
    <w:uiPriority w:val="39"/>
    <w:qFormat/>
    <w:pPr>
      <w:spacing w:before="120" w:after="120"/>
      <w:jc w:val="left"/>
    </w:pPr>
    <w:rPr>
      <w:rFonts w:ascii="Calibri" w:hAnsi="Calibri" w:cs="Calibri"/>
      <w:b/>
      <w:bCs/>
      <w:caps/>
      <w:szCs w:val="20"/>
    </w:rPr>
  </w:style>
  <w:style w:type="paragraph" w:styleId="TOC2">
    <w:name w:val="toc 2"/>
    <w:basedOn w:val="Normal"/>
    <w:next w:val="Normal"/>
    <w:uiPriority w:val="39"/>
    <w:qFormat/>
    <w:pPr>
      <w:spacing w:before="120" w:after="120"/>
      <w:ind w:left="210"/>
      <w:jc w:val="left"/>
    </w:pPr>
    <w:rPr>
      <w:rFonts w:ascii="Calibri" w:hAnsi="Calibri" w:cs="Calibri"/>
      <w:smallCaps/>
      <w:szCs w:val="20"/>
    </w:rPr>
  </w:style>
  <w:style w:type="paragraph" w:styleId="NormalWeb">
    <w:name w:val="Normal (Web)"/>
    <w:basedOn w:val="Normal"/>
    <w:uiPriority w:val="99"/>
    <w:qFormat/>
    <w:pPr>
      <w:widowControl/>
      <w:spacing w:before="100" w:beforeAutospacing="1" w:after="100" w:afterAutospacing="1"/>
      <w:jc w:val="left"/>
    </w:pPr>
    <w:rPr>
      <w:rFonts w:ascii="宋体" w:hAnsi="宋体"/>
      <w:kern w:val="0"/>
      <w:sz w:val="24"/>
    </w:rPr>
  </w:style>
  <w:style w:type="table" w:styleId="TableGrid">
    <w:name w:val="Table Grid"/>
    <w:basedOn w:val="TableNormal"/>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Hyperlink">
    <w:name w:val="Hyperlink"/>
    <w:uiPriority w:val="99"/>
    <w:qFormat/>
    <w:rPr>
      <w:rFonts w:eastAsia="宋体"/>
      <w:color w:val="0000FF"/>
      <w:sz w:val="28"/>
      <w:u w:val="single"/>
    </w:rPr>
  </w:style>
  <w:style w:type="character" w:styleId="CommentReference">
    <w:name w:val="annotation reference"/>
    <w:qFormat/>
    <w:rPr>
      <w:sz w:val="21"/>
      <w:szCs w:val="21"/>
    </w:rPr>
  </w:style>
  <w:style w:type="character" w:customStyle="1" w:styleId="p141">
    <w:name w:val="p141"/>
    <w:qFormat/>
    <w:rPr>
      <w:sz w:val="21"/>
      <w:szCs w:val="21"/>
    </w:rPr>
  </w:style>
  <w:style w:type="paragraph" w:styleId="ListParagraph">
    <w:name w:val="List Paragraph"/>
    <w:basedOn w:val="Normal"/>
    <w:uiPriority w:val="34"/>
    <w:qFormat/>
    <w:pPr>
      <w:ind w:firstLine="420" w:firstLineChars="200"/>
    </w:pPr>
  </w:style>
  <w:style w:type="paragraph" w:customStyle="1" w:styleId="a0">
    <w:name w:val="图"/>
    <w:basedOn w:val="Normal"/>
    <w:qFormat/>
    <w:pPr>
      <w:keepNext/>
      <w:adjustRightInd w:val="0"/>
      <w:spacing w:before="60" w:after="60" w:line="300" w:lineRule="auto"/>
      <w:jc w:val="center"/>
      <w:textAlignment w:val="center"/>
    </w:pPr>
    <w:rPr>
      <w:snapToGrid w:val="0"/>
      <w:spacing w:val="20"/>
      <w:kern w:val="0"/>
      <w:sz w:val="24"/>
      <w:szCs w:val="20"/>
    </w:rPr>
  </w:style>
  <w:style w:type="paragraph" w:customStyle="1" w:styleId="00">
    <w:name w:val="正文_0_0"/>
    <w:qFormat/>
    <w:pPr>
      <w:widowControl w:val="0"/>
      <w:spacing w:line="360" w:lineRule="auto"/>
      <w:ind w:firstLine="200" w:firstLineChars="200"/>
      <w:jc w:val="both"/>
    </w:pPr>
    <w:rPr>
      <w:rFonts w:ascii="Cambria Math" w:eastAsia="宋体" w:hAnsi="Cambria Math" w:cs="Cambria Math"/>
      <w:kern w:val="2"/>
      <w:sz w:val="24"/>
      <w:szCs w:val="24"/>
      <w:lang w:val="en-US" w:eastAsia="zh-CN" w:bidi="ar-SA"/>
    </w:rPr>
  </w:style>
  <w:style w:type="paragraph" w:customStyle="1" w:styleId="1">
    <w:name w:val="列出段落1"/>
    <w:basedOn w:val="Normal"/>
    <w:uiPriority w:val="34"/>
    <w:qFormat/>
    <w:pPr>
      <w:ind w:firstLine="420" w:firstLineChars="200"/>
    </w:pPr>
  </w:style>
  <w:style w:type="character" w:customStyle="1" w:styleId="p1410">
    <w:name w:val="p141_0"/>
    <w:qFormat/>
    <w:rPr>
      <w:rFonts w:ascii="Calibri" w:hAnsi="Calibri"/>
      <w:sz w:val="21"/>
      <w:szCs w:val="21"/>
    </w:rPr>
  </w:style>
  <w:style w:type="paragraph" w:customStyle="1" w:styleId="Normal13">
    <w:name w:val="Normal_13"/>
    <w:qFormat/>
    <w:rPr>
      <w:rFonts w:ascii="Times New Roman" w:eastAsia="宋体" w:hAnsi="Times New Roman" w:cs="Times New Roman"/>
      <w:sz w:val="21"/>
      <w:lang w:val="en-US" w:eastAsia="zh-CN" w:bidi="ar-SA"/>
    </w:rPr>
  </w:style>
  <w:style w:type="paragraph" w:customStyle="1" w:styleId="14">
    <w:name w:val="正文_14"/>
    <w:qFormat/>
    <w:pPr>
      <w:widowControl w:val="0"/>
      <w:jc w:val="both"/>
    </w:pPr>
    <w:rPr>
      <w:rFonts w:ascii="Times New Roman" w:eastAsia="宋体" w:hAnsi="Times New Roman" w:cs="Times New Roman"/>
      <w:kern w:val="2"/>
      <w:sz w:val="21"/>
      <w:szCs w:val="24"/>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3.png" /><Relationship Id="rId11" Type="http://schemas.openxmlformats.org/officeDocument/2006/relationships/image" Target="media/image4.png" /><Relationship Id="rId12" Type="http://schemas.openxmlformats.org/officeDocument/2006/relationships/image" Target="media/image5.png" /><Relationship Id="rId13" Type="http://schemas.openxmlformats.org/officeDocument/2006/relationships/image" Target="media/image6.png" /><Relationship Id="rId14" Type="http://schemas.openxmlformats.org/officeDocument/2006/relationships/image" Target="media/image7.png" /><Relationship Id="rId15" Type="http://schemas.openxmlformats.org/officeDocument/2006/relationships/header" Target="header4.xml" /><Relationship Id="rId16" Type="http://schemas.openxmlformats.org/officeDocument/2006/relationships/footer" Target="footer3.xml" /><Relationship Id="rId17" Type="http://schemas.openxmlformats.org/officeDocument/2006/relationships/header" Target="header5.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webSettings" Target="webSettings.xml" /><Relationship Id="rId20"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header" Target="header3.xml" /><Relationship Id="rId9" Type="http://schemas.openxmlformats.org/officeDocument/2006/relationships/footer" Target="footer2.xml" /></Relationships>
</file>

<file path=word/_rels/header3.xml.rels>&#65279;<?xml version="1.0" encoding="utf-8" standalone="yes"?><Relationships xmlns="http://schemas.openxmlformats.org/package/2006/relationships"><Relationship Id="rId1" Type="http://schemas.openxmlformats.org/officeDocument/2006/relationships/image" Target="media/image2.jpeg" /></Relationships>
</file>

<file path=word/_rels/header4.xml.rels>&#65279;<?xml version="1.0" encoding="utf-8" standalone="yes"?><Relationships xmlns="http://schemas.openxmlformats.org/package/2006/relationships"><Relationship Id="rId1" Type="http://schemas.openxmlformats.org/officeDocument/2006/relationships/image" Target="media/image8.png" /></Relationships>
</file>

<file path=word/_rels/header5.xml.rels>&#65279;<?xml version="1.0" encoding="utf-8" standalone="yes"?><Relationships xmlns="http://schemas.openxmlformats.org/package/2006/relationships"><Relationship Id="rId1" Type="http://schemas.openxmlformats.org/officeDocument/2006/relationships/image" Target="media/image8.png"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TotalTime>34</TotalTime>
  <Pages>90</Pages>
  <Words>43854</Words>
  <Characters>46478</Characters>
  <Application>Microsoft Office Word</Application>
  <DocSecurity>0</DocSecurity>
  <Lines>0</Lines>
  <Paragraphs>0</Paragraphs>
  <ScaleCrop>false</ScaleCrop>
  <Company/>
  <LinksUpToDate>false</LinksUpToDate>
  <CharactersWithSpaces>48871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采联-朱小姐</dc:creator>
  <cp:lastModifiedBy>采联-朱小姐</cp:lastModifiedBy>
  <cp:revision>1</cp:revision>
  <dcterms:created xsi:type="dcterms:W3CDTF">2022-11-14T12:54:00Z</dcterms:created>
  <dcterms:modified xsi:type="dcterms:W3CDTF">2022-11-24T03:58:11Z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5029ABA7944F4BA2A71C773272F8220F</vt:lpwstr>
  </property>
  <property fmtid="{D5CDD505-2E9C-101B-9397-08002B2CF9AE}" pid="3" name="KSOProductBuildVer">
    <vt:lpwstr>2052-11.1.0.12763</vt:lpwstr>
  </property>
</Properties>
</file>